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78" w:rsidRPr="00823395" w:rsidRDefault="00F54178" w:rsidP="00F54178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23395">
        <w:rPr>
          <w:b/>
          <w:bCs/>
          <w:sz w:val="28"/>
          <w:szCs w:val="28"/>
        </w:rPr>
        <w:t>30</w:t>
      </w:r>
      <w:r w:rsidRPr="00823395">
        <w:rPr>
          <w:b/>
          <w:bCs/>
          <w:sz w:val="28"/>
          <w:szCs w:val="28"/>
          <w:vertAlign w:val="superscript"/>
        </w:rPr>
        <w:t>ème</w:t>
      </w:r>
      <w:r w:rsidRPr="00823395">
        <w:rPr>
          <w:b/>
          <w:bCs/>
          <w:sz w:val="28"/>
          <w:szCs w:val="28"/>
        </w:rPr>
        <w:t xml:space="preserve"> session du Groupe de travail de l’Examen périodique universel</w:t>
      </w:r>
    </w:p>
    <w:p w:rsidR="00F54178" w:rsidRPr="00823395" w:rsidRDefault="00F54178" w:rsidP="00F54178">
      <w:pPr>
        <w:spacing w:line="240" w:lineRule="auto"/>
        <w:jc w:val="center"/>
        <w:rPr>
          <w:b/>
          <w:bCs/>
          <w:sz w:val="28"/>
          <w:szCs w:val="28"/>
        </w:rPr>
      </w:pPr>
      <w:r w:rsidRPr="00823395">
        <w:rPr>
          <w:b/>
          <w:bCs/>
          <w:sz w:val="28"/>
          <w:szCs w:val="28"/>
        </w:rPr>
        <w:t>(7 - 18 mai 2018)</w:t>
      </w:r>
    </w:p>
    <w:p w:rsidR="00F54178" w:rsidRDefault="00823395" w:rsidP="00823395">
      <w:pPr>
        <w:jc w:val="center"/>
      </w:pPr>
      <w:r w:rsidRPr="00356FD4">
        <w:rPr>
          <w:noProof/>
          <w:lang w:eastAsia="fr-FR"/>
        </w:rPr>
        <w:drawing>
          <wp:inline distT="0" distB="0" distL="0" distR="0" wp14:anchorId="305B9AAF" wp14:editId="4549FD05">
            <wp:extent cx="812800" cy="704850"/>
            <wp:effectExtent l="0" t="0" r="6350" b="0"/>
            <wp:docPr id="1" name="Imag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78" w:rsidRDefault="00F54178" w:rsidP="00F541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Turkménistan</w:t>
      </w:r>
    </w:p>
    <w:p w:rsidR="00F54178" w:rsidRDefault="00F54178" w:rsidP="00F54178">
      <w:pPr>
        <w:jc w:val="center"/>
        <w:rPr>
          <w:b/>
          <w:sz w:val="28"/>
          <w:szCs w:val="28"/>
          <w:u w:val="single"/>
        </w:rPr>
      </w:pPr>
    </w:p>
    <w:p w:rsidR="00F54178" w:rsidRDefault="00F54178" w:rsidP="00F5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Intervention du Représentant Permanent de la France</w:t>
      </w:r>
    </w:p>
    <w:p w:rsidR="00F54178" w:rsidRDefault="00F54178" w:rsidP="00F54178">
      <w:pPr>
        <w:jc w:val="center"/>
        <w:rPr>
          <w:sz w:val="28"/>
          <w:szCs w:val="28"/>
        </w:rPr>
      </w:pPr>
      <w:r>
        <w:rPr>
          <w:sz w:val="28"/>
          <w:szCs w:val="28"/>
        </w:rPr>
        <w:t>Genève, le lundi 7 mai 2018  (matin)</w:t>
      </w:r>
    </w:p>
    <w:p w:rsidR="00F54178" w:rsidRDefault="00F54178" w:rsidP="00F54178">
      <w:pPr>
        <w:spacing w:line="360" w:lineRule="auto"/>
        <w:jc w:val="both"/>
        <w:rPr>
          <w:sz w:val="28"/>
          <w:szCs w:val="28"/>
        </w:rPr>
      </w:pPr>
    </w:p>
    <w:p w:rsidR="00F54178" w:rsidRDefault="00F54178" w:rsidP="00F541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F54178" w:rsidRDefault="00F54178" w:rsidP="00F541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tout d'abord </w:t>
      </w:r>
      <w:r w:rsidR="005853D9">
        <w:rPr>
          <w:sz w:val="28"/>
          <w:szCs w:val="28"/>
        </w:rPr>
        <w:t>remercie</w:t>
      </w:r>
      <w:r>
        <w:rPr>
          <w:sz w:val="28"/>
          <w:szCs w:val="28"/>
        </w:rPr>
        <w:t xml:space="preserve"> la délégation du Turkménistan pour la présentation de son rapport.</w:t>
      </w:r>
    </w:p>
    <w:p w:rsidR="00F258B3" w:rsidRPr="00F258B3" w:rsidRDefault="00750CFC" w:rsidP="00F25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France regrette </w:t>
      </w:r>
      <w:r w:rsidR="00F258B3" w:rsidRPr="00F258B3">
        <w:rPr>
          <w:sz w:val="28"/>
          <w:szCs w:val="28"/>
        </w:rPr>
        <w:t xml:space="preserve"> que les changements institutionnels – comme la mise en place de l</w:t>
      </w:r>
      <w:r>
        <w:rPr>
          <w:sz w:val="28"/>
          <w:szCs w:val="28"/>
        </w:rPr>
        <w:t>’</w:t>
      </w:r>
      <w:r w:rsidR="00F258B3" w:rsidRPr="00F258B3">
        <w:rPr>
          <w:sz w:val="28"/>
          <w:szCs w:val="28"/>
        </w:rPr>
        <w:t xml:space="preserve">ombudswoman – </w:t>
      </w:r>
      <w:r>
        <w:rPr>
          <w:sz w:val="28"/>
          <w:szCs w:val="28"/>
        </w:rPr>
        <w:t>soient restés sans effet réels depuis 2013</w:t>
      </w:r>
      <w:r w:rsidR="00F258B3" w:rsidRPr="00F258B3">
        <w:rPr>
          <w:sz w:val="28"/>
          <w:szCs w:val="28"/>
        </w:rPr>
        <w:t xml:space="preserve">. Les élections du 25 mars n’ont </w:t>
      </w:r>
      <w:r>
        <w:rPr>
          <w:sz w:val="28"/>
          <w:szCs w:val="28"/>
        </w:rPr>
        <w:t xml:space="preserve">pas </w:t>
      </w:r>
      <w:r w:rsidR="00F258B3" w:rsidRPr="00F258B3">
        <w:rPr>
          <w:sz w:val="28"/>
          <w:szCs w:val="28"/>
        </w:rPr>
        <w:t xml:space="preserve">laissé entrevoir </w:t>
      </w:r>
      <w:r>
        <w:rPr>
          <w:sz w:val="28"/>
          <w:szCs w:val="28"/>
        </w:rPr>
        <w:t>d’</w:t>
      </w:r>
      <w:r w:rsidR="00F258B3" w:rsidRPr="00F258B3">
        <w:rPr>
          <w:sz w:val="28"/>
          <w:szCs w:val="28"/>
        </w:rPr>
        <w:t xml:space="preserve">amélioration sur le plan démocratique. Il </w:t>
      </w:r>
      <w:r w:rsidR="00F258B3">
        <w:rPr>
          <w:sz w:val="28"/>
          <w:szCs w:val="28"/>
        </w:rPr>
        <w:t xml:space="preserve">est </w:t>
      </w:r>
      <w:r w:rsidR="00F258B3" w:rsidRPr="00F258B3">
        <w:rPr>
          <w:sz w:val="28"/>
          <w:szCs w:val="28"/>
        </w:rPr>
        <w:t xml:space="preserve">essentiel de poursuivre les efforts en matière des droits de l’Homme, en accordant davantage d’espace à la société civile pour permettre une meilleure jouissance des libertés de pensée, d’information, d’expression, de rassemblement et de circulation. </w:t>
      </w:r>
    </w:p>
    <w:p w:rsidR="008C40DC" w:rsidRPr="008C40DC" w:rsidRDefault="008C40DC" w:rsidP="008C40DC">
      <w:pPr>
        <w:jc w:val="both"/>
        <w:rPr>
          <w:sz w:val="28"/>
          <w:szCs w:val="28"/>
        </w:rPr>
      </w:pPr>
      <w:r w:rsidRPr="008C40DC">
        <w:rPr>
          <w:sz w:val="28"/>
          <w:szCs w:val="28"/>
        </w:rPr>
        <w:t>Dans ce contexte, la France adresse les recommandations suivantes au Turkménistan:</w:t>
      </w:r>
    </w:p>
    <w:p w:rsidR="008C40DC" w:rsidRPr="008C40DC" w:rsidRDefault="008C40DC" w:rsidP="008C40DC">
      <w:pPr>
        <w:numPr>
          <w:ilvl w:val="0"/>
          <w:numId w:val="1"/>
        </w:numPr>
        <w:jc w:val="both"/>
        <w:rPr>
          <w:sz w:val="28"/>
          <w:szCs w:val="28"/>
        </w:rPr>
      </w:pPr>
      <w:r w:rsidRPr="008C40DC">
        <w:rPr>
          <w:sz w:val="28"/>
          <w:szCs w:val="28"/>
        </w:rPr>
        <w:t xml:space="preserve">respecter ses engagements internationaux </w:t>
      </w:r>
      <w:r w:rsidR="00665B48">
        <w:rPr>
          <w:sz w:val="28"/>
          <w:szCs w:val="28"/>
        </w:rPr>
        <w:t xml:space="preserve">sur les </w:t>
      </w:r>
      <w:r w:rsidRPr="008C40DC">
        <w:rPr>
          <w:sz w:val="28"/>
          <w:szCs w:val="28"/>
        </w:rPr>
        <w:t>disparitions forcées et devenir partie à la Convention internationale pour la protection de toutes les personnes contre les disparitions forcées ;</w:t>
      </w:r>
    </w:p>
    <w:p w:rsidR="008C40DC" w:rsidRPr="008C40DC" w:rsidRDefault="008C40DC" w:rsidP="008C40DC">
      <w:pPr>
        <w:numPr>
          <w:ilvl w:val="0"/>
          <w:numId w:val="1"/>
        </w:numPr>
        <w:jc w:val="both"/>
        <w:rPr>
          <w:sz w:val="28"/>
          <w:szCs w:val="28"/>
        </w:rPr>
      </w:pPr>
      <w:r w:rsidRPr="008C40DC">
        <w:rPr>
          <w:sz w:val="28"/>
          <w:szCs w:val="28"/>
        </w:rPr>
        <w:t>ratifier le Protocole facultatif à la Convention sur la prévention de la torture;</w:t>
      </w:r>
    </w:p>
    <w:p w:rsidR="008C40DC" w:rsidRPr="00F258B3" w:rsidRDefault="008C40DC" w:rsidP="008C40DC">
      <w:pPr>
        <w:numPr>
          <w:ilvl w:val="0"/>
          <w:numId w:val="1"/>
        </w:numPr>
        <w:jc w:val="both"/>
        <w:rPr>
          <w:sz w:val="28"/>
          <w:szCs w:val="28"/>
        </w:rPr>
      </w:pPr>
      <w:r w:rsidRPr="00F258B3">
        <w:rPr>
          <w:sz w:val="28"/>
          <w:szCs w:val="28"/>
        </w:rPr>
        <w:lastRenderedPageBreak/>
        <w:t>respecte</w:t>
      </w:r>
      <w:r w:rsidR="00F258B3" w:rsidRPr="00F258B3">
        <w:rPr>
          <w:sz w:val="28"/>
          <w:szCs w:val="28"/>
        </w:rPr>
        <w:t xml:space="preserve">r le droit au procès équitable et </w:t>
      </w:r>
      <w:r w:rsidRPr="00F258B3">
        <w:rPr>
          <w:sz w:val="28"/>
          <w:szCs w:val="28"/>
        </w:rPr>
        <w:t xml:space="preserve">abroger le pouvoir qu’ont les procureurs, sur simple décision écrite, de maintenir en détention un condamné de façon illimitée alors même qu’il a purgé sa peine ; </w:t>
      </w:r>
    </w:p>
    <w:p w:rsidR="008C40DC" w:rsidRPr="008C40DC" w:rsidRDefault="008C40DC" w:rsidP="008C40DC">
      <w:pPr>
        <w:numPr>
          <w:ilvl w:val="0"/>
          <w:numId w:val="1"/>
        </w:numPr>
        <w:jc w:val="both"/>
        <w:rPr>
          <w:sz w:val="28"/>
          <w:szCs w:val="28"/>
        </w:rPr>
      </w:pPr>
      <w:r w:rsidRPr="008C40DC">
        <w:rPr>
          <w:sz w:val="28"/>
          <w:szCs w:val="28"/>
        </w:rPr>
        <w:t xml:space="preserve">autoriser les rapporteurs spéciaux du Conseil des Droits de l’Homme à se rendre au Turkménistan, </w:t>
      </w:r>
      <w:r>
        <w:rPr>
          <w:sz w:val="28"/>
          <w:szCs w:val="28"/>
        </w:rPr>
        <w:t>conformément au plan d’action national 2016-2020</w:t>
      </w:r>
      <w:r w:rsidRPr="008C40DC">
        <w:rPr>
          <w:sz w:val="28"/>
          <w:szCs w:val="28"/>
        </w:rPr>
        <w:t xml:space="preserve"> ;</w:t>
      </w:r>
    </w:p>
    <w:p w:rsidR="008C40DC" w:rsidRPr="008C40DC" w:rsidRDefault="008C40DC" w:rsidP="008C40DC">
      <w:pPr>
        <w:numPr>
          <w:ilvl w:val="0"/>
          <w:numId w:val="1"/>
        </w:numPr>
        <w:jc w:val="both"/>
        <w:rPr>
          <w:sz w:val="28"/>
          <w:szCs w:val="28"/>
        </w:rPr>
      </w:pPr>
      <w:r w:rsidRPr="008C40DC">
        <w:rPr>
          <w:sz w:val="28"/>
          <w:szCs w:val="28"/>
        </w:rPr>
        <w:t>introduire dans le Code pénal les violences domestiques, y compris les violences sexuelles et le viol conjugal</w:t>
      </w:r>
      <w:r>
        <w:rPr>
          <w:sz w:val="28"/>
          <w:szCs w:val="28"/>
        </w:rPr>
        <w:t>, comme crimes spécifiques</w:t>
      </w:r>
      <w:r w:rsidRPr="008C40DC">
        <w:rPr>
          <w:sz w:val="28"/>
          <w:szCs w:val="28"/>
        </w:rPr>
        <w:t xml:space="preserve">, et  </w:t>
      </w:r>
      <w:r w:rsidR="00665B48">
        <w:rPr>
          <w:sz w:val="28"/>
          <w:szCs w:val="28"/>
        </w:rPr>
        <w:t xml:space="preserve">créer </w:t>
      </w:r>
      <w:r w:rsidRPr="008C40DC">
        <w:rPr>
          <w:sz w:val="28"/>
          <w:szCs w:val="28"/>
        </w:rPr>
        <w:t>un</w:t>
      </w:r>
      <w:r w:rsidR="00F258B3">
        <w:rPr>
          <w:sz w:val="28"/>
          <w:szCs w:val="28"/>
        </w:rPr>
        <w:t xml:space="preserve"> mécanisme</w:t>
      </w:r>
      <w:r w:rsidRPr="008C40DC">
        <w:rPr>
          <w:sz w:val="28"/>
          <w:szCs w:val="28"/>
        </w:rPr>
        <w:t xml:space="preserve"> indépendant de recueil des plainte</w:t>
      </w:r>
      <w:r>
        <w:rPr>
          <w:sz w:val="28"/>
          <w:szCs w:val="28"/>
        </w:rPr>
        <w:t>s</w:t>
      </w:r>
      <w:r w:rsidR="00665B48">
        <w:rPr>
          <w:sz w:val="28"/>
          <w:szCs w:val="28"/>
        </w:rPr>
        <w:t xml:space="preserve"> </w:t>
      </w:r>
      <w:r w:rsidR="00F258B3">
        <w:rPr>
          <w:sz w:val="28"/>
          <w:szCs w:val="28"/>
        </w:rPr>
        <w:t>des vict</w:t>
      </w:r>
      <w:r w:rsidR="00665B48">
        <w:rPr>
          <w:sz w:val="28"/>
          <w:szCs w:val="28"/>
        </w:rPr>
        <w:t>imes</w:t>
      </w:r>
      <w:r w:rsidRPr="008C40DC">
        <w:rPr>
          <w:sz w:val="28"/>
          <w:szCs w:val="28"/>
        </w:rPr>
        <w:t>./.</w:t>
      </w:r>
    </w:p>
    <w:p w:rsidR="00AB0D30" w:rsidRDefault="00621A84" w:rsidP="008C40DC">
      <w:pPr>
        <w:jc w:val="both"/>
        <w:rPr>
          <w:sz w:val="28"/>
          <w:szCs w:val="28"/>
        </w:rPr>
      </w:pPr>
    </w:p>
    <w:p w:rsidR="00F258B3" w:rsidRDefault="00F258B3" w:rsidP="008C40DC">
      <w:pPr>
        <w:jc w:val="both"/>
        <w:rPr>
          <w:sz w:val="28"/>
          <w:szCs w:val="28"/>
        </w:rPr>
      </w:pPr>
    </w:p>
    <w:sectPr w:rsidR="00F2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E86"/>
    <w:multiLevelType w:val="hybridMultilevel"/>
    <w:tmpl w:val="780617DC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78"/>
    <w:rsid w:val="005853D9"/>
    <w:rsid w:val="00621A84"/>
    <w:rsid w:val="00665B48"/>
    <w:rsid w:val="00697CC9"/>
    <w:rsid w:val="00750CFC"/>
    <w:rsid w:val="00823395"/>
    <w:rsid w:val="008A2D45"/>
    <w:rsid w:val="008C40DC"/>
    <w:rsid w:val="009E57A0"/>
    <w:rsid w:val="00F258B3"/>
    <w:rsid w:val="00F5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323D7-A21F-4089-B25F-30F898DBF735}"/>
</file>

<file path=customXml/itemProps2.xml><?xml version="1.0" encoding="utf-8"?>
<ds:datastoreItem xmlns:ds="http://schemas.openxmlformats.org/officeDocument/2006/customXml" ds:itemID="{A36144B3-FC9F-40F8-B10C-DCC4B2F97CEC}"/>
</file>

<file path=customXml/itemProps3.xml><?xml version="1.0" encoding="utf-8"?>
<ds:datastoreItem xmlns:ds="http://schemas.openxmlformats.org/officeDocument/2006/customXml" ds:itemID="{D4E0E56A-6B88-40FF-B08E-DE942B5FF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SAUVAGEOT Thomas</dc:creator>
  <cp:lastModifiedBy>D-ANGELO Christelle</cp:lastModifiedBy>
  <cp:revision>2</cp:revision>
  <dcterms:created xsi:type="dcterms:W3CDTF">2018-05-07T14:18:00Z</dcterms:created>
  <dcterms:modified xsi:type="dcterms:W3CDTF">2018-05-07T14:18:00Z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