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675"/>
        <w:bidiVisual/>
        <w:tblW w:w="9449" w:type="dxa"/>
        <w:tblLook w:val="04A0" w:firstRow="1" w:lastRow="0" w:firstColumn="1" w:lastColumn="0" w:noHBand="0" w:noVBand="1"/>
      </w:tblPr>
      <w:tblGrid>
        <w:gridCol w:w="3898"/>
        <w:gridCol w:w="2166"/>
        <w:gridCol w:w="3385"/>
      </w:tblGrid>
      <w:tr w:rsidR="00AD2AF2" w:rsidTr="00C82FB4">
        <w:trPr>
          <w:trHeight w:val="1047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2AF2" w:rsidRDefault="00AD2AF2" w:rsidP="00937B00">
            <w:pPr>
              <w:pStyle w:val="NoSpacing"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  <w:br w:type="page"/>
            </w:r>
            <w:r>
              <w:rPr>
                <w:rFonts w:ascii="Tahoma" w:hAnsi="Tahoma" w:cs="MCS Taybah S_U normal." w:hint="cs"/>
                <w:rtl/>
              </w:rPr>
              <w:t>البعثة</w:t>
            </w:r>
            <w:r w:rsidR="00FD3891">
              <w:rPr>
                <w:rFonts w:ascii="Tahoma" w:hAnsi="Tahoma" w:cs="MCS Taybah S_U normal."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الدائمة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Tahoma" w:hAnsi="Tahoma" w:cs="MCS Taybah S_U normal." w:hint="cs"/>
                <w:rtl/>
              </w:rPr>
              <w:t>لجمهورية</w:t>
            </w:r>
            <w:r w:rsidR="00FD3891">
              <w:rPr>
                <w:rFonts w:ascii="Tahoma" w:hAnsi="Tahoma" w:cs="MCS Taybah S_U normal.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MCS Taybah S_U normal." w:hint="cs"/>
                <w:rtl/>
              </w:rPr>
              <w:t>السودان</w:t>
            </w:r>
          </w:p>
          <w:p w:rsidR="00AD2AF2" w:rsidRDefault="00AD2AF2" w:rsidP="00937B00">
            <w:pPr>
              <w:tabs>
                <w:tab w:val="center" w:pos="1844"/>
                <w:tab w:val="left" w:pos="2479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ahoma" w:hAnsi="Tahoma" w:cs="MCS Taybah S_U normal." w:hint="cs"/>
                <w:rtl/>
              </w:rPr>
              <w:t>جنيف</w:t>
            </w:r>
          </w:p>
        </w:tc>
        <w:tc>
          <w:tcPr>
            <w:tcW w:w="21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213485" cy="641985"/>
                  <wp:effectExtent l="1905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134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Permanent Mission of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Republic of the</w:t>
            </w:r>
          </w:p>
          <w:p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SUDAN - Geneva</w:t>
            </w:r>
          </w:p>
          <w:p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AD2AF2" w:rsidTr="00C82FB4">
        <w:trPr>
          <w:trHeight w:val="84"/>
        </w:trPr>
        <w:tc>
          <w:tcPr>
            <w:tcW w:w="389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</w:rPr>
            </w:pPr>
          </w:p>
        </w:tc>
        <w:tc>
          <w:tcPr>
            <w:tcW w:w="21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AF2" w:rsidRPr="00EF0160" w:rsidRDefault="00AD2AF2" w:rsidP="00937B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 w:bidi="ar-IQ"/>
              </w:rPr>
            </w:pPr>
          </w:p>
        </w:tc>
      </w:tr>
    </w:tbl>
    <w:p w:rsidR="00AD2AF2" w:rsidRPr="00B5755F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مجلس حقوق الإنسان</w:t>
      </w:r>
    </w:p>
    <w:p w:rsidR="00AD2AF2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اَلية </w:t>
      </w:r>
      <w:proofErr w:type="spellStart"/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الإستعراض</w:t>
      </w:r>
      <w:proofErr w:type="spellEnd"/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الدوري الشامل</w:t>
      </w:r>
      <w:r w:rsidR="00DA7BFD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</w:t>
      </w:r>
      <w:r w:rsidR="00DA7BFD"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  <w:t>–</w:t>
      </w:r>
      <w:r w:rsidR="00DA7BFD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الدورة </w:t>
      </w:r>
      <w:proofErr w:type="gramStart"/>
      <w:r w:rsidR="00DA7BFD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( 30</w:t>
      </w:r>
      <w:proofErr w:type="gramEnd"/>
      <w:r w:rsidR="00DA7BFD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)</w:t>
      </w:r>
    </w:p>
    <w:p w:rsidR="0060607F" w:rsidRDefault="0060607F" w:rsidP="00D8185E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مراجعة </w:t>
      </w:r>
      <w:r w:rsidR="00D8185E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ألمانيا</w:t>
      </w:r>
    </w:p>
    <w:p w:rsidR="0060607F" w:rsidRPr="00B5755F" w:rsidRDefault="00D8185E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8</w:t>
      </w:r>
      <w:r w:rsidR="0060607F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مايو 2018م</w:t>
      </w:r>
    </w:p>
    <w:p w:rsidR="00FC2DE6" w:rsidRPr="00B5755F" w:rsidRDefault="00FC2DE6" w:rsidP="00FC2DE6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E71C35" w:rsidRPr="008D6CFD" w:rsidRDefault="00DA7BFD" w:rsidP="00DA7BFD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يشكر السودان مجموعة العمل و</w:t>
      </w:r>
      <w:r w:rsidR="00D8185E">
        <w:rPr>
          <w:rFonts w:ascii="Sakkal Majalla" w:hAnsi="Sakkal Majalla" w:cs="Sakkal Majalla" w:hint="cs"/>
          <w:sz w:val="34"/>
          <w:szCs w:val="34"/>
          <w:rtl/>
        </w:rPr>
        <w:t xml:space="preserve">يتقدم بالشكر لوفد جمهورية ألمانيا </w:t>
      </w:r>
      <w:proofErr w:type="spellStart"/>
      <w:r w:rsidR="00D8185E">
        <w:rPr>
          <w:rFonts w:ascii="Sakkal Majalla" w:hAnsi="Sakkal Majalla" w:cs="Sakkal Majalla" w:hint="cs"/>
          <w:sz w:val="34"/>
          <w:szCs w:val="34"/>
          <w:rtl/>
        </w:rPr>
        <w:t>الإتحادية</w:t>
      </w:r>
      <w:proofErr w:type="spellEnd"/>
      <w:r w:rsidR="00D8185E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proofErr w:type="spellStart"/>
      <w:r w:rsidR="00D8185E">
        <w:rPr>
          <w:rFonts w:ascii="Sakkal Majalla" w:hAnsi="Sakkal Majalla" w:cs="Sakkal Majalla" w:hint="cs"/>
          <w:sz w:val="34"/>
          <w:szCs w:val="34"/>
          <w:rtl/>
        </w:rPr>
        <w:t>بإلتزامها</w:t>
      </w:r>
      <w:proofErr w:type="spellEnd"/>
      <w:r w:rsidR="00D8185E">
        <w:rPr>
          <w:rFonts w:ascii="Sakkal Majalla" w:hAnsi="Sakkal Majalla" w:cs="Sakkal Majalla" w:hint="cs"/>
          <w:sz w:val="34"/>
          <w:szCs w:val="34"/>
          <w:rtl/>
        </w:rPr>
        <w:t xml:space="preserve"> باَلية </w:t>
      </w:r>
      <w:proofErr w:type="spellStart"/>
      <w:r w:rsidR="00D8185E">
        <w:rPr>
          <w:rFonts w:ascii="Sakkal Majalla" w:hAnsi="Sakkal Majalla" w:cs="Sakkal Majalla" w:hint="cs"/>
          <w:sz w:val="34"/>
          <w:szCs w:val="34"/>
          <w:rtl/>
        </w:rPr>
        <w:t>الإستعراض</w:t>
      </w:r>
      <w:proofErr w:type="spellEnd"/>
      <w:r w:rsidR="00D8185E">
        <w:rPr>
          <w:rFonts w:ascii="Sakkal Majalla" w:hAnsi="Sakkal Majalla" w:cs="Sakkal Majalla" w:hint="cs"/>
          <w:sz w:val="34"/>
          <w:szCs w:val="34"/>
          <w:rtl/>
        </w:rPr>
        <w:t xml:space="preserve"> الدوري الشامل وتقديمها لتقريرها الوطني ويأخذ السودان علماً بما جاء فيه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FC2DE6" w:rsidRDefault="00D8185E" w:rsidP="0060607F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يثمن وفد السودان المجهودات التي تطلع بها جمهورية ألمانيا في مجالات تعزيز حقوق الإنسان والسبل الكفيلة بها </w:t>
      </w:r>
      <w:proofErr w:type="gramStart"/>
      <w:r>
        <w:rPr>
          <w:rFonts w:ascii="Sakkal Majalla" w:hAnsi="Sakkal Majalla" w:cs="Sakkal Majalla" w:hint="cs"/>
          <w:sz w:val="34"/>
          <w:szCs w:val="34"/>
          <w:rtl/>
        </w:rPr>
        <w:t>لحمايتها,</w:t>
      </w:r>
      <w:proofErr w:type="gramEnd"/>
      <w:r>
        <w:rPr>
          <w:rFonts w:ascii="Sakkal Majalla" w:hAnsi="Sakkal Majalla" w:cs="Sakkal Majalla" w:hint="cs"/>
          <w:sz w:val="34"/>
          <w:szCs w:val="34"/>
          <w:rtl/>
        </w:rPr>
        <w:t xml:space="preserve"> كما يثمن جهودها المبذولة في إطار تنفيذ التوصيات المقدمة لها في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الإستعراض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الدوري السابق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:rsidR="0060607F" w:rsidRDefault="00D8185E" w:rsidP="0060607F">
      <w:pPr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إن وفد بلادي يوصي حكومة جمهورية ألمانيا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الإتحادية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sz w:val="34"/>
          <w:szCs w:val="34"/>
          <w:rtl/>
        </w:rPr>
        <w:t>بالاَتي :</w:t>
      </w:r>
      <w:proofErr w:type="gramEnd"/>
    </w:p>
    <w:p w:rsidR="0060607F" w:rsidRDefault="00D8185E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إتخاذ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تدابير لضمان الحد من ظاهرة كراهية الأجانب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60607F" w:rsidRDefault="00D8185E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تعزيز وحماية حقوق المهاجرين واللاجئين وفقاً للمواثيق والأعراف الدولية</w:t>
      </w:r>
      <w:r w:rsidR="0060607F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C82FB4" w:rsidRDefault="00C82FB4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إنشاء اَلية مستقلة تتولى التحقيق في التعذيب وسوء المعاملة المرتكب من الشرطة.</w:t>
      </w:r>
    </w:p>
    <w:p w:rsidR="00C82FB4" w:rsidRDefault="00C82FB4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مسائلة الشركات المنتجة للأسلحة الخفيفة والصغيرة والمتسببة في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إنتهاكات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حقوق الإنسان.</w:t>
      </w:r>
    </w:p>
    <w:p w:rsidR="00D8185E" w:rsidRPr="00D8185E" w:rsidRDefault="00D8185E" w:rsidP="00D8185E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D8185E">
        <w:rPr>
          <w:rFonts w:asciiTheme="majorBidi" w:hAnsiTheme="majorBidi" w:cs="MCS Taybah S_U normal." w:hint="cs"/>
          <w:sz w:val="36"/>
          <w:szCs w:val="36"/>
          <w:u w:val="single"/>
          <w:rtl/>
          <w:lang w:val="en-GB"/>
        </w:rPr>
        <w:t>ختاماً:</w:t>
      </w:r>
    </w:p>
    <w:p w:rsidR="00D8185E" w:rsidRDefault="00D8185E" w:rsidP="00D8185E">
      <w:pPr>
        <w:pStyle w:val="ListParagraph"/>
        <w:ind w:left="-58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يشكر وفد بلادي جمهورية ألمانيا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الإتحادية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 xml:space="preserve"> ويتمنى لها التوفيق في تنفيذ التوصيات الواردة في </w:t>
      </w:r>
      <w:proofErr w:type="spellStart"/>
      <w:r>
        <w:rPr>
          <w:rFonts w:ascii="Sakkal Majalla" w:hAnsi="Sakkal Majalla" w:cs="Sakkal Majalla" w:hint="cs"/>
          <w:sz w:val="34"/>
          <w:szCs w:val="34"/>
          <w:rtl/>
        </w:rPr>
        <w:t>الإستعراض</w:t>
      </w:r>
      <w:proofErr w:type="spellEnd"/>
      <w:r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FC2DE6" w:rsidRPr="0081373D" w:rsidRDefault="00FC2DE6" w:rsidP="00FD3891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lang w:val="en-GB"/>
        </w:rPr>
      </w:pP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شكراً </w:t>
      </w:r>
      <w:r w:rsidR="008D6CFD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</w:t>
      </w: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سيد </w:t>
      </w:r>
      <w:proofErr w:type="gramStart"/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الرئيس,,</w:t>
      </w:r>
      <w:proofErr w:type="gramEnd"/>
    </w:p>
    <w:sectPr w:rsidR="00FC2DE6" w:rsidRPr="0081373D" w:rsidSect="00C06C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4A" w:rsidRDefault="00814C4A">
      <w:pPr>
        <w:spacing w:after="0" w:line="240" w:lineRule="auto"/>
      </w:pPr>
      <w:r>
        <w:separator/>
      </w:r>
    </w:p>
  </w:endnote>
  <w:endnote w:type="continuationSeparator" w:id="0">
    <w:p w:rsidR="00814C4A" w:rsidRDefault="0081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4A" w:rsidRDefault="00814C4A">
      <w:pPr>
        <w:spacing w:after="0" w:line="240" w:lineRule="auto"/>
      </w:pPr>
      <w:r>
        <w:separator/>
      </w:r>
    </w:p>
  </w:footnote>
  <w:footnote w:type="continuationSeparator" w:id="0">
    <w:p w:rsidR="00814C4A" w:rsidRDefault="0081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B71"/>
    <w:multiLevelType w:val="hybridMultilevel"/>
    <w:tmpl w:val="E55241B6"/>
    <w:lvl w:ilvl="0" w:tplc="18385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AF2"/>
    <w:rsid w:val="001041B2"/>
    <w:rsid w:val="001A1957"/>
    <w:rsid w:val="00224909"/>
    <w:rsid w:val="00235849"/>
    <w:rsid w:val="0023596B"/>
    <w:rsid w:val="003273CB"/>
    <w:rsid w:val="00397049"/>
    <w:rsid w:val="003B4266"/>
    <w:rsid w:val="00454BE8"/>
    <w:rsid w:val="00462843"/>
    <w:rsid w:val="0048030A"/>
    <w:rsid w:val="004E09E3"/>
    <w:rsid w:val="00501B88"/>
    <w:rsid w:val="00504A0C"/>
    <w:rsid w:val="00523E7D"/>
    <w:rsid w:val="00595263"/>
    <w:rsid w:val="005D37B7"/>
    <w:rsid w:val="005D574D"/>
    <w:rsid w:val="0060435B"/>
    <w:rsid w:val="0060607F"/>
    <w:rsid w:val="006230B2"/>
    <w:rsid w:val="006705F9"/>
    <w:rsid w:val="00723B84"/>
    <w:rsid w:val="0074513E"/>
    <w:rsid w:val="007C07AB"/>
    <w:rsid w:val="0081373D"/>
    <w:rsid w:val="00814C4A"/>
    <w:rsid w:val="00837A88"/>
    <w:rsid w:val="0085452B"/>
    <w:rsid w:val="0085484A"/>
    <w:rsid w:val="008C3A82"/>
    <w:rsid w:val="008D6CFD"/>
    <w:rsid w:val="00947A44"/>
    <w:rsid w:val="00A47EA9"/>
    <w:rsid w:val="00A55981"/>
    <w:rsid w:val="00AD2AF2"/>
    <w:rsid w:val="00BA3823"/>
    <w:rsid w:val="00C2795F"/>
    <w:rsid w:val="00C53D3D"/>
    <w:rsid w:val="00C82FB4"/>
    <w:rsid w:val="00CA0907"/>
    <w:rsid w:val="00CB301E"/>
    <w:rsid w:val="00D31E54"/>
    <w:rsid w:val="00D8185E"/>
    <w:rsid w:val="00DA7BFD"/>
    <w:rsid w:val="00DF4971"/>
    <w:rsid w:val="00E218FD"/>
    <w:rsid w:val="00E530E0"/>
    <w:rsid w:val="00E71C35"/>
    <w:rsid w:val="00F204DA"/>
    <w:rsid w:val="00F422E3"/>
    <w:rsid w:val="00F92873"/>
    <w:rsid w:val="00FC2DE6"/>
    <w:rsid w:val="00FD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0025"/>
  <w15:docId w15:val="{F9BEE289-4DE4-4061-8170-FB564A9D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F2"/>
    <w:pPr>
      <w:bidi/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F2"/>
    <w:rPr>
      <w:rFonts w:ascii="Times New Roman" w:eastAsia="Times New Roman" w:hAnsi="Times New Roman" w:cs="Times New Roman"/>
      <w:sz w:val="28"/>
      <w:szCs w:val="28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AD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F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4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2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FB4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80CC9-AEDA-4B8B-B321-A0A24CEF25C6}"/>
</file>

<file path=customXml/itemProps2.xml><?xml version="1.0" encoding="utf-8"?>
<ds:datastoreItem xmlns:ds="http://schemas.openxmlformats.org/officeDocument/2006/customXml" ds:itemID="{1E034652-4912-4748-B3F6-A187E23D7B1F}"/>
</file>

<file path=customXml/itemProps3.xml><?xml version="1.0" encoding="utf-8"?>
<ds:datastoreItem xmlns:ds="http://schemas.openxmlformats.org/officeDocument/2006/customXml" ds:itemID="{995D88ED-E78A-4ACE-9027-6B4BC6606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SALAH BABIKER MOHAMED</dc:creator>
  <cp:keywords/>
  <dc:description/>
  <cp:lastModifiedBy>Muntasir Saad</cp:lastModifiedBy>
  <cp:revision>27</cp:revision>
  <cp:lastPrinted>2018-05-08T07:11:00Z</cp:lastPrinted>
  <dcterms:created xsi:type="dcterms:W3CDTF">2018-02-27T11:15:00Z</dcterms:created>
  <dcterms:modified xsi:type="dcterms:W3CDTF">2018-05-11T09:57:00Z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