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Recomendaciones Tuvalu</w:t>
      </w:r>
    </w:p>
    <w:p>
      <w:pPr>
        <w:pStyle w:val="Normal.0"/>
        <w:spacing w:line="360" w:lineRule="auto"/>
        <w:jc w:val="both"/>
      </w:pPr>
      <w:r>
        <w:rPr>
          <w:rtl w:val="0"/>
          <w:lang w:val="es-ES_tradnl"/>
        </w:rPr>
        <w:t>Tomamos nota de los progresos logrados por Tuvalu en materia de igualdad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 y derechos de la mujer, y les alentamos a redoblar esfuerzos en materia de combate a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violencia hacia las mujeres y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as. </w:t>
      </w:r>
    </w:p>
    <w:p>
      <w:pPr>
        <w:pStyle w:val="Normal.0"/>
        <w:spacing w:line="360" w:lineRule="auto"/>
        <w:jc w:val="both"/>
      </w:pPr>
      <w:r>
        <w:rPr>
          <w:rtl w:val="0"/>
          <w:lang w:val="es-ES_tradnl"/>
        </w:rPr>
        <w:t>De conformidad con las recomendaciones formuladas por el equipo de Naciones Unidas en 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 y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de los Derechos del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Uruguay formula las siguientes recomendaciones, esperando que las mismas puedan ser implementadas con ayuda de la cooperaci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internacional: 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Realizar un examen de la legislaci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modificar o derogar todas las leyes que sean discriminatorias por motivo de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sexual e identidad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nero, o cualquier otro motivo, de modo que est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de conformidad a los principios de igualdad y no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 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Adoptar medidas comprensivas, incluyendo medidas legislativas, para prevenir y abordar todas las  formas de violencia contra las mujeres y las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as, incluyendo la violencia sexual. 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 Asegurar el acceso universal a los servicios de salud sexual y reproductiva a todas las mujeres y las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as.  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Prohibir los castigos corporales para disciplinar a los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tanto en el hogar como en cualquier otro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mbito de la sociedad. </w:t>
      </w:r>
    </w:p>
    <w:p>
      <w:pPr>
        <w:pStyle w:val="Normal.0"/>
        <w:jc w:val="both"/>
      </w:pPr>
      <w:r>
        <w:rPr>
          <w:rtl w:val="0"/>
          <w:lang w:val="es-ES_tradnl"/>
        </w:rPr>
        <w:t>Durante el segundo ciclo del EPU, Tuvalu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aceptado redoblar sus esfuerzos por ratificar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pidamente los tratados fundamentales de derechos humanos. Comprendiendo los desaf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os que ello implica en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rminos de adecuaci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legislaci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nacional, Uruguay recomienda la pronta ratificaci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Pacto Internacional de Derechos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micos, Sociales y Culturales, el Pacto Internacional de Derechos Civiles y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ticos,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Internacional sobre la Eliminaci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todas las Formas de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Racial, y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contra la Tortura y Otros Tratos o Penas Crueles, Inhumanos o Degradantes.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F5059-D6BA-4388-9436-A9658B00ACDC}"/>
</file>

<file path=customXml/itemProps2.xml><?xml version="1.0" encoding="utf-8"?>
<ds:datastoreItem xmlns:ds="http://schemas.openxmlformats.org/officeDocument/2006/customXml" ds:itemID="{0D0490BB-329F-41A4-92E2-7443271AF0ED}"/>
</file>

<file path=customXml/itemProps3.xml><?xml version="1.0" encoding="utf-8"?>
<ds:datastoreItem xmlns:ds="http://schemas.openxmlformats.org/officeDocument/2006/customXml" ds:itemID="{532703F6-2C5E-4E19-B29A-FD9604C7E45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