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RECOMENDACIONES TURKMENISTAN</w:t>
      </w:r>
    </w:p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s-ES_tradnl"/>
        </w:rPr>
        <w:t xml:space="preserve">Uruguay saluda las medidas implementadas en los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ltimos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 por Turkmenist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n, especialmente la adopci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Plan Nacional de Acci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los Derechos Humanos 2016-2022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las iniciativas en materia de igualdad y empoderamiento de la mujer, Uruguay recomienda: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es-ES_tradnl"/>
        </w:rPr>
      </w:pPr>
      <w:r>
        <w:rPr>
          <w:rtl w:val="0"/>
          <w:lang w:val="es-ES_tradnl"/>
        </w:rPr>
        <w:t>Publicar 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pidamente los resultados del censo nacional de poblaci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vivienda del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2012.</w:t>
      </w:r>
    </w:p>
    <w:p>
      <w:pPr>
        <w:pStyle w:val="Normal.0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Acelerar la aprobaci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 implementaci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censo nacional sobre salud y el estatuto de la mujer en la familia.</w:t>
      </w:r>
    </w:p>
    <w:p>
      <w:pPr>
        <w:pStyle w:val="Normal.0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Considerar la adopci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una ley general contra la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motivo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nero, raza, nacionalidad, orientaci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sexual e identidad de g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nero, o cualquier otra forma de intolerancia.</w:t>
      </w:r>
    </w:p>
    <w:p>
      <w:pPr>
        <w:pStyle w:val="Normal.0"/>
        <w:numPr>
          <w:ilvl w:val="0"/>
          <w:numId w:val="4"/>
        </w:numPr>
        <w:jc w:val="both"/>
        <w:rPr>
          <w:lang w:val="es-ES_tradnl"/>
        </w:rPr>
      </w:pPr>
      <w:r>
        <w:rPr>
          <w:rtl w:val="0"/>
          <w:lang w:val="es-ES_tradnl"/>
        </w:rPr>
        <w:t>Despenalizar las relaciones sexuales consentidas entre personas del mismo sexo y poner fin a la estigmatizaci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la homosexualidad, bisexualidad, intersexualidad y transexualidad. 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Style w:val="Ninguno"/>
          <w:rtl w:val="0"/>
          <w:lang w:val="es-ES_tradnl"/>
        </w:rPr>
        <w:t>Finalmente, Uruguay recomienda a Turkmenist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considerar el extender una invitaci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permanente a los procedimientos especiales del Consejo de Derechos Humanos,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la ratificaci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del Estatuto de Roma, la </w:t>
      </w:r>
      <w:r>
        <w:rPr>
          <w:rStyle w:val="Ninguno"/>
          <w:rtl w:val="0"/>
        </w:rPr>
        <w:t>Convenci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Internacional para la protecci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de todas las personas contra las desapariciones forzadas</w:t>
      </w:r>
      <w:r>
        <w:rPr>
          <w:rStyle w:val="Ninguno"/>
          <w:rtl w:val="0"/>
          <w:lang w:val="es-ES_tradnl"/>
        </w:rPr>
        <w:t>, la Convenci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la Prevenci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Sanci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Delito de Genocidio y la Convenci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internacional sobre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los derechos de todos los trabajadores migratorios y de sus familiares. </w:t>
      </w: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93E0F-BBE8-4878-A170-2D52E0B6F812}"/>
</file>

<file path=customXml/itemProps2.xml><?xml version="1.0" encoding="utf-8"?>
<ds:datastoreItem xmlns:ds="http://schemas.openxmlformats.org/officeDocument/2006/customXml" ds:itemID="{3EE93BB1-59D7-4A8A-AE74-4ACEEE84A272}"/>
</file>

<file path=customXml/itemProps3.xml><?xml version="1.0" encoding="utf-8"?>
<ds:datastoreItem xmlns:ds="http://schemas.openxmlformats.org/officeDocument/2006/customXml" ds:itemID="{85BD1433-85A4-4FC1-9ED4-1887E473605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