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1" w:rsidRDefault="00240666" w:rsidP="00846F48">
      <w:pPr>
        <w:bidi/>
        <w:spacing w:after="0"/>
        <w:ind w:right="851"/>
        <w:rPr>
          <w:rFonts w:ascii="Garamond" w:hAnsi="Garamond"/>
          <w:sz w:val="32"/>
          <w:szCs w:val="32"/>
          <w:rtl/>
        </w:rPr>
      </w:pPr>
      <w:r>
        <w:rPr>
          <w:rFonts w:ascii="Garamond" w:hAnsi="Garamond"/>
          <w:b/>
          <w:bCs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-586740</wp:posOffset>
            </wp:positionV>
            <wp:extent cx="838200" cy="853440"/>
            <wp:effectExtent l="0" t="0" r="0" b="381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1D" w:rsidRPr="00753D1D">
        <w:rPr>
          <w:rFonts w:ascii="Garamond" w:hAnsi="Garamond"/>
          <w:b/>
          <w:bCs/>
          <w:noProof/>
          <w:sz w:val="36"/>
          <w:szCs w:val="36"/>
          <w:rtl/>
        </w:rPr>
        <w:pict>
          <v:rect id="Rectangle 2" o:spid="_x0000_s1026" style="position:absolute;left:0;text-align:left;margin-left:-25.2pt;margin-top:-41.4pt;width:207.7pt;height:100.2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" o:allowincell="f" filled="f" fillcolor="black" stroked="f" strokeweight="1.5pt">
            <v:textbox inset="0,0,0,0">
              <w:txbxContent>
                <w:p w:rsidR="00846F48" w:rsidRPr="00D860ED" w:rsidRDefault="00846F48" w:rsidP="00846F48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846F48" w:rsidRPr="002D2339" w:rsidRDefault="00846F48" w:rsidP="00846F48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846F48" w:rsidRPr="002D2339" w:rsidRDefault="00846F48" w:rsidP="00846F48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846F48" w:rsidRPr="002D2339" w:rsidRDefault="00846F48" w:rsidP="00846F48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846F48" w:rsidRPr="00862535" w:rsidRDefault="00846F48" w:rsidP="00846F48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846F48" w:rsidRPr="00BA15E7" w:rsidRDefault="00846F48" w:rsidP="00846F48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Garamond" w:hAnsi="Garamond"/>
          <w:b/>
          <w:bCs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-361315</wp:posOffset>
            </wp:positionV>
            <wp:extent cx="2592705" cy="935990"/>
            <wp:effectExtent l="0" t="0" r="0" b="0"/>
            <wp:wrapTight wrapText="bothSides">
              <wp:wrapPolygon edited="0">
                <wp:start x="0" y="0"/>
                <wp:lineTo x="0" y="21102"/>
                <wp:lineTo x="21425" y="21102"/>
                <wp:lineTo x="21425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923" w:rsidRDefault="00330923" w:rsidP="00240666">
      <w:pPr>
        <w:bidi/>
        <w:rPr>
          <w:b/>
          <w:bCs/>
          <w:sz w:val="40"/>
          <w:szCs w:val="40"/>
          <w:rtl/>
          <w:lang w:bidi="ar-SY"/>
        </w:rPr>
      </w:pPr>
    </w:p>
    <w:p w:rsidR="00240666" w:rsidRPr="00240666" w:rsidRDefault="00846F48" w:rsidP="003139EC">
      <w:pPr>
        <w:bidi/>
        <w:spacing w:line="240" w:lineRule="auto"/>
        <w:ind w:left="248"/>
        <w:jc w:val="center"/>
        <w:rPr>
          <w:b/>
          <w:bCs/>
          <w:sz w:val="32"/>
          <w:szCs w:val="32"/>
          <w:rtl/>
          <w:lang w:bidi="ar-SY"/>
        </w:rPr>
      </w:pPr>
      <w:r w:rsidRPr="00240666">
        <w:rPr>
          <w:rFonts w:hint="cs"/>
          <w:b/>
          <w:bCs/>
          <w:sz w:val="32"/>
          <w:szCs w:val="32"/>
          <w:rtl/>
          <w:lang w:bidi="ar-SY"/>
        </w:rPr>
        <w:t xml:space="preserve">بيان </w:t>
      </w:r>
      <w:r w:rsidR="003139EC">
        <w:rPr>
          <w:rFonts w:hint="cs"/>
          <w:b/>
          <w:bCs/>
          <w:sz w:val="32"/>
          <w:szCs w:val="32"/>
          <w:rtl/>
          <w:lang w:bidi="ar-SY"/>
        </w:rPr>
        <w:t>البعثة الدائمة ل</w:t>
      </w:r>
      <w:r w:rsidRPr="00240666">
        <w:rPr>
          <w:rFonts w:hint="cs"/>
          <w:b/>
          <w:bCs/>
          <w:sz w:val="32"/>
          <w:szCs w:val="32"/>
          <w:rtl/>
          <w:lang w:bidi="ar-SY"/>
        </w:rPr>
        <w:t>لجمهورية العربية السورية</w:t>
      </w:r>
    </w:p>
    <w:p w:rsidR="00846F48" w:rsidRPr="00240666" w:rsidRDefault="00846F48" w:rsidP="00240666">
      <w:pPr>
        <w:bidi/>
        <w:spacing w:line="240" w:lineRule="auto"/>
        <w:ind w:left="248"/>
        <w:jc w:val="center"/>
        <w:rPr>
          <w:b/>
          <w:bCs/>
          <w:sz w:val="32"/>
          <w:szCs w:val="32"/>
          <w:rtl/>
          <w:lang w:bidi="ar-SY"/>
        </w:rPr>
      </w:pPr>
      <w:r w:rsidRPr="00240666">
        <w:rPr>
          <w:rFonts w:hint="cs"/>
          <w:b/>
          <w:bCs/>
          <w:sz w:val="32"/>
          <w:szCs w:val="32"/>
          <w:rtl/>
          <w:lang w:bidi="ar-SY"/>
        </w:rPr>
        <w:t>لدى مكتب الأمم المتحدة</w:t>
      </w:r>
      <w:r w:rsidR="00240666" w:rsidRPr="00240666">
        <w:rPr>
          <w:rFonts w:hint="cs"/>
          <w:b/>
          <w:bCs/>
          <w:sz w:val="32"/>
          <w:szCs w:val="32"/>
          <w:rtl/>
          <w:lang w:bidi="ar-SY"/>
        </w:rPr>
        <w:t xml:space="preserve"> والمنظمات الدولية الأخرى</w:t>
      </w:r>
      <w:r w:rsidRPr="00240666">
        <w:rPr>
          <w:rFonts w:hint="cs"/>
          <w:b/>
          <w:bCs/>
          <w:sz w:val="32"/>
          <w:szCs w:val="32"/>
          <w:rtl/>
          <w:lang w:bidi="ar-SY"/>
        </w:rPr>
        <w:t xml:space="preserve"> في جنيف</w:t>
      </w:r>
    </w:p>
    <w:p w:rsidR="00330923" w:rsidRPr="00CD27FB" w:rsidRDefault="003139EC" w:rsidP="00240666">
      <w:pPr>
        <w:suppressLineNumbers/>
        <w:bidi/>
        <w:spacing w:line="240" w:lineRule="auto"/>
        <w:ind w:right="85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SY"/>
        </w:rPr>
      </w:pPr>
      <w:r w:rsidRPr="00CD27FB"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SY"/>
        </w:rPr>
        <w:t>أمام الفريق المعني بالاستعراض الدوري الشامل</w:t>
      </w:r>
    </w:p>
    <w:p w:rsidR="00240666" w:rsidRPr="00767CA2" w:rsidRDefault="00767CA2" w:rsidP="003139EC">
      <w:pPr>
        <w:bidi/>
        <w:ind w:firstLine="720"/>
        <w:jc w:val="center"/>
        <w:rPr>
          <w:rFonts w:cstheme="minorHAnsi"/>
          <w:sz w:val="28"/>
          <w:szCs w:val="28"/>
          <w:rtl/>
          <w:lang w:bidi="ar-SY"/>
        </w:rPr>
      </w:pPr>
      <w:r w:rsidRPr="00240666">
        <w:rPr>
          <w:rFonts w:ascii="Times New Roman" w:hAnsi="Times New Roman" w:cs="Times New Roman" w:hint="cs"/>
          <w:b/>
          <w:bCs/>
          <w:sz w:val="28"/>
          <w:szCs w:val="28"/>
          <w:rtl/>
        </w:rPr>
        <w:t>جنيف في 2</w:t>
      </w:r>
      <w:r w:rsidR="003139EC"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Pr="00240666">
        <w:rPr>
          <w:rFonts w:ascii="Times New Roman" w:hAnsi="Times New Roman" w:cs="Times New Roman" w:hint="cs"/>
          <w:b/>
          <w:bCs/>
          <w:sz w:val="28"/>
          <w:szCs w:val="28"/>
          <w:rtl/>
        </w:rPr>
        <w:t>/</w:t>
      </w:r>
      <w:r w:rsidR="003139EC">
        <w:rPr>
          <w:rFonts w:ascii="Times New Roman" w:hAnsi="Times New Roman" w:cs="Times New Roman" w:hint="cs"/>
          <w:b/>
          <w:bCs/>
          <w:sz w:val="28"/>
          <w:szCs w:val="28"/>
          <w:rtl/>
        </w:rPr>
        <w:t>01/</w:t>
      </w:r>
      <w:r w:rsidRPr="00240666">
        <w:rPr>
          <w:rFonts w:ascii="Times New Roman" w:hAnsi="Times New Roman" w:cs="Times New Roman" w:hint="cs"/>
          <w:b/>
          <w:bCs/>
          <w:sz w:val="28"/>
          <w:szCs w:val="28"/>
          <w:rtl/>
        </w:rPr>
        <w:t>201</w:t>
      </w:r>
      <w:r w:rsidR="003139EC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</w:p>
    <w:p w:rsidR="00767CA2" w:rsidRDefault="00767CA2" w:rsidP="00767CA2">
      <w:pPr>
        <w:bidi/>
        <w:ind w:firstLine="720"/>
        <w:jc w:val="both"/>
        <w:rPr>
          <w:rFonts w:cstheme="minorHAnsi"/>
          <w:color w:val="000000" w:themeColor="text1"/>
          <w:sz w:val="36"/>
          <w:szCs w:val="36"/>
          <w:rtl/>
          <w:lang w:bidi="ar-SY"/>
        </w:rPr>
      </w:pPr>
    </w:p>
    <w:p w:rsidR="00B15E92" w:rsidRPr="003139EC" w:rsidRDefault="003139EC" w:rsidP="00CD27FB">
      <w:pPr>
        <w:bidi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SY"/>
        </w:rPr>
      </w:pPr>
      <w:r w:rsidRPr="003139EC"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SY"/>
        </w:rPr>
        <w:t>السيد الرئيس</w:t>
      </w:r>
    </w:p>
    <w:p w:rsidR="002A042B" w:rsidRDefault="003139EC" w:rsidP="004D2227">
      <w:pPr>
        <w:bidi/>
        <w:ind w:firstLine="720"/>
        <w:jc w:val="both"/>
        <w:rPr>
          <w:rFonts w:asciiTheme="minorBidi" w:hAnsiTheme="minorBidi"/>
          <w:color w:val="000000" w:themeColor="text1"/>
          <w:sz w:val="32"/>
          <w:szCs w:val="32"/>
          <w:rtl/>
          <w:lang w:bidi="ar-SY"/>
        </w:rPr>
      </w:pPr>
      <w:r w:rsidRPr="003139EC">
        <w:rPr>
          <w:rFonts w:asciiTheme="minorBidi" w:hAnsiTheme="minorBidi"/>
          <w:color w:val="000000" w:themeColor="text1"/>
          <w:sz w:val="32"/>
          <w:szCs w:val="32"/>
          <w:rtl/>
          <w:lang w:bidi="ar-SY"/>
        </w:rPr>
        <w:t xml:space="preserve">إن 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محاولات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5E0DD8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سلطات الاحتلال الإسرائيلي، آخر وأسوأ أنظمة الاحتلال الاستيطاني، 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تجاهل واقع احتلالها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و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نتهاكات</w:t>
      </w:r>
      <w:r w:rsidR="005E0DD8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ها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D7098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في الأراضي العربية المحتلة</w:t>
      </w:r>
      <w:r w:rsidR="005E0DD8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،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يعكس 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انفصال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اً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عن الواقع</w:t>
      </w:r>
      <w:r w:rsidR="00DB66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واستمراراً لسياسات التضليل والتدليس بشكل </w:t>
      </w:r>
      <w:r w:rsidR="004D2227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يجعل من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عملية الاستعراض </w:t>
      </w:r>
      <w:r w:rsidR="00CF7C19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الدوري </w:t>
      </w:r>
      <w:r w:rsidR="00CD27F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ممارسة عبثية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. </w:t>
      </w:r>
    </w:p>
    <w:p w:rsidR="00CD27FB" w:rsidRPr="00FC1697" w:rsidRDefault="005E5239" w:rsidP="002A042B">
      <w:pPr>
        <w:bidi/>
        <w:ind w:firstLine="720"/>
        <w:jc w:val="both"/>
        <w:rPr>
          <w:rFonts w:asciiTheme="minorBidi" w:hAnsiTheme="minorBidi"/>
          <w:color w:val="000000" w:themeColor="text1"/>
          <w:sz w:val="32"/>
          <w:szCs w:val="32"/>
          <w:lang w:val="fr-CH" w:bidi="ar-SY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تشدد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الجمهورية العربية السورية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على 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ال</w:t>
      </w:r>
      <w:r w:rsidR="00002603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مطالب </w:t>
      </w:r>
      <w:r w:rsidR="009D742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التالية التي </w:t>
      </w:r>
      <w:r w:rsidR="00002603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سبق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002603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ل</w:t>
      </w:r>
      <w:r w:rsidR="00D14141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هذا المجلس</w:t>
      </w:r>
      <w:r w:rsidR="00002603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تأكيدها في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تقاريره و</w:t>
      </w:r>
      <w:r w:rsidR="00002603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قراراته</w:t>
      </w:r>
      <w:r w:rsidR="00CD27F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:</w:t>
      </w:r>
    </w:p>
    <w:p w:rsidR="00657FF4" w:rsidRPr="00657FF4" w:rsidRDefault="00CD27FB" w:rsidP="005E523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color w:val="000000" w:themeColor="text1"/>
          <w:sz w:val="32"/>
          <w:szCs w:val="32"/>
          <w:lang w:bidi="ar-SY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الإنهاء الفوري للاحتلال الإسرائيلي للأراضي العربية المحتلة، </w:t>
      </w:r>
      <w:r w:rsidR="00D14141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و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الوقف الفوري للاستيطان الاستعماري وللسياسات والممارسات المرتبطة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به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م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باعتبارها ممارسات محرمة دولياً تنتهك حقوق الشعب الفلسطيني وحقوق أبناء الجولان السوري المحتل.</w:t>
      </w:r>
    </w:p>
    <w:p w:rsidR="003139EC" w:rsidRDefault="00002603" w:rsidP="00F7634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color w:val="000000" w:themeColor="text1"/>
          <w:sz w:val="32"/>
          <w:szCs w:val="32"/>
          <w:lang w:bidi="ar-SY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إتاحة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الوصول الفوري وغير المقيد وغير المشروط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D7098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للجنة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المعنية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ب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التحقيق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في </w:t>
      </w:r>
      <w:r w:rsidR="00D7098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الممارسات الإسرائيلية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في </w:t>
      </w:r>
      <w:r w:rsidR="00D7098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الأراضي العربية المحتلة، وغيرها من لجان التحقيق والتقصي التي أنشأها هذا المجلس. </w:t>
      </w:r>
    </w:p>
    <w:p w:rsidR="00D70986" w:rsidRDefault="00D70986" w:rsidP="004D2227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color w:val="000000" w:themeColor="text1"/>
          <w:sz w:val="32"/>
          <w:szCs w:val="32"/>
          <w:lang w:bidi="ar-SY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وقف الانتهاكات الجسيمة والممنهجة لحقوق السوريين والفلسطينيين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تحت الاحتلال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ولأحكام القانونين الدوليين الإنساني والعام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،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بما فيها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احتجاز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وتعذيب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الأسرى والمعتقلين،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وآخرهم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الطفلة الفلسطينية عهد التميمي وعميد الأسرى السوريين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lastRenderedPageBreak/>
        <w:t>صدقي المقت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وإطلاق سراحهم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،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ووقف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الإعدامات الميدانية</w:t>
      </w:r>
      <w:r w:rsidR="005E5239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،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وآخرها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</w:t>
      </w:r>
      <w:r w:rsidR="00F7634D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قتل </w:t>
      </w:r>
      <w:bookmarkStart w:id="0" w:name="_GoBack"/>
      <w:bookmarkEnd w:id="0"/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الفلسطيني ابراهيم أبو ثريا 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من ذوي الإعاقة </w:t>
      </w:r>
      <w:r w:rsidR="003261D6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على كرسيه المتحرك.</w:t>
      </w:r>
    </w:p>
    <w:p w:rsidR="003261D6" w:rsidRPr="00CD27FB" w:rsidRDefault="003261D6" w:rsidP="005E523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color w:val="000000" w:themeColor="text1"/>
          <w:sz w:val="32"/>
          <w:szCs w:val="32"/>
          <w:rtl/>
          <w:lang w:bidi="ar-SY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وقف الدعم اللوجستي </w:t>
      </w:r>
      <w:r w:rsidR="005E5239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للتنظيمات الإرهابية، الذي وثقه التقرير الأخير للأندوف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 (</w:t>
      </w:r>
      <w:r w:rsidR="002A042B">
        <w:rPr>
          <w:rFonts w:asciiTheme="minorBidi" w:hAnsiTheme="minorBidi"/>
          <w:color w:val="000000" w:themeColor="text1"/>
          <w:sz w:val="32"/>
          <w:szCs w:val="32"/>
          <w:lang w:val="fr-CH" w:bidi="ar-SY"/>
        </w:rPr>
        <w:t>UNDOF</w:t>
      </w:r>
      <w:r w:rsidR="002A042B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) 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>في منطقة الفصل وخارجها</w:t>
      </w:r>
      <w:r w:rsidR="00657FF4">
        <w:rPr>
          <w:rFonts w:asciiTheme="minorBidi" w:hAnsiTheme="minorBidi" w:hint="cs"/>
          <w:color w:val="000000" w:themeColor="text1"/>
          <w:sz w:val="32"/>
          <w:szCs w:val="32"/>
          <w:rtl/>
          <w:lang w:bidi="ar-SY"/>
        </w:rPr>
        <w:t xml:space="preserve">، والذي ينتهك قرارات مجلس الأمن ذات الصلة، والتوقف عن التذرع بادعاءات إنسانية كاذبة لتبرير دعم الإرهاب. </w:t>
      </w:r>
    </w:p>
    <w:p w:rsidR="00B15E92" w:rsidRPr="003139EC" w:rsidRDefault="00B15E92" w:rsidP="00B15E92">
      <w:pPr>
        <w:bidi/>
        <w:ind w:firstLine="720"/>
        <w:jc w:val="both"/>
        <w:rPr>
          <w:rFonts w:asciiTheme="minorBidi" w:hAnsiTheme="minorBidi"/>
          <w:sz w:val="32"/>
          <w:szCs w:val="32"/>
          <w:rtl/>
          <w:lang w:bidi="ar-SY"/>
        </w:rPr>
      </w:pPr>
    </w:p>
    <w:p w:rsidR="00B15E92" w:rsidRDefault="00B15E92" w:rsidP="00240666">
      <w:pPr>
        <w:bidi/>
        <w:jc w:val="both"/>
        <w:rPr>
          <w:rFonts w:cstheme="minorHAnsi"/>
          <w:sz w:val="36"/>
          <w:szCs w:val="36"/>
          <w:rtl/>
          <w:lang w:bidi="ar-SY"/>
        </w:rPr>
      </w:pPr>
    </w:p>
    <w:sectPr w:rsidR="00B15E92" w:rsidSect="006874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DA" w:rsidRDefault="00DF5CDA" w:rsidP="00662D92">
      <w:pPr>
        <w:spacing w:after="0" w:line="240" w:lineRule="auto"/>
      </w:pPr>
      <w:r>
        <w:separator/>
      </w:r>
    </w:p>
  </w:endnote>
  <w:endnote w:type="continuationSeparator" w:id="1">
    <w:p w:rsidR="00DF5CDA" w:rsidRDefault="00DF5CDA" w:rsidP="0066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75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D92" w:rsidRDefault="00753D1D">
        <w:pPr>
          <w:pStyle w:val="Footer"/>
          <w:jc w:val="center"/>
        </w:pPr>
        <w:r>
          <w:fldChar w:fldCharType="begin"/>
        </w:r>
        <w:r w:rsidR="00662D92">
          <w:instrText xml:space="preserve"> PAGE   \* MERGEFORMAT </w:instrText>
        </w:r>
        <w:r>
          <w:fldChar w:fldCharType="separate"/>
        </w:r>
        <w:r w:rsidR="00DF5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D92" w:rsidRDefault="00662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DA" w:rsidRDefault="00DF5CDA" w:rsidP="00662D92">
      <w:pPr>
        <w:spacing w:after="0" w:line="240" w:lineRule="auto"/>
      </w:pPr>
      <w:r>
        <w:separator/>
      </w:r>
    </w:p>
  </w:footnote>
  <w:footnote w:type="continuationSeparator" w:id="1">
    <w:p w:rsidR="00DF5CDA" w:rsidRDefault="00DF5CDA" w:rsidP="0066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79EB"/>
    <w:multiLevelType w:val="hybridMultilevel"/>
    <w:tmpl w:val="A3265B88"/>
    <w:lvl w:ilvl="0" w:tplc="863E6A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64C8"/>
    <w:rsid w:val="0000088F"/>
    <w:rsid w:val="00002603"/>
    <w:rsid w:val="00015FDB"/>
    <w:rsid w:val="000471C9"/>
    <w:rsid w:val="00067F11"/>
    <w:rsid w:val="000F7154"/>
    <w:rsid w:val="00105585"/>
    <w:rsid w:val="00141A05"/>
    <w:rsid w:val="001564E9"/>
    <w:rsid w:val="00163BB3"/>
    <w:rsid w:val="001718F4"/>
    <w:rsid w:val="00185F4C"/>
    <w:rsid w:val="001C380D"/>
    <w:rsid w:val="001D1AAC"/>
    <w:rsid w:val="001E0C77"/>
    <w:rsid w:val="001E2FD8"/>
    <w:rsid w:val="00240666"/>
    <w:rsid w:val="00246C84"/>
    <w:rsid w:val="0025323C"/>
    <w:rsid w:val="00253AF2"/>
    <w:rsid w:val="00253B0D"/>
    <w:rsid w:val="00267F79"/>
    <w:rsid w:val="002764C8"/>
    <w:rsid w:val="002A042B"/>
    <w:rsid w:val="002C518B"/>
    <w:rsid w:val="002C754F"/>
    <w:rsid w:val="003139EC"/>
    <w:rsid w:val="00325C73"/>
    <w:rsid w:val="003261D6"/>
    <w:rsid w:val="00330923"/>
    <w:rsid w:val="00370419"/>
    <w:rsid w:val="00381F55"/>
    <w:rsid w:val="003B3C57"/>
    <w:rsid w:val="003C31B0"/>
    <w:rsid w:val="003D429D"/>
    <w:rsid w:val="003F597E"/>
    <w:rsid w:val="00400670"/>
    <w:rsid w:val="0042630C"/>
    <w:rsid w:val="004264BF"/>
    <w:rsid w:val="00432BE2"/>
    <w:rsid w:val="00470F30"/>
    <w:rsid w:val="00475066"/>
    <w:rsid w:val="004C4895"/>
    <w:rsid w:val="004C5B2C"/>
    <w:rsid w:val="004D2227"/>
    <w:rsid w:val="004D23C8"/>
    <w:rsid w:val="00524C3F"/>
    <w:rsid w:val="005C0EAA"/>
    <w:rsid w:val="005E0DD8"/>
    <w:rsid w:val="005E5239"/>
    <w:rsid w:val="00657FF4"/>
    <w:rsid w:val="00662D92"/>
    <w:rsid w:val="006702CA"/>
    <w:rsid w:val="006874FE"/>
    <w:rsid w:val="00692559"/>
    <w:rsid w:val="006B3426"/>
    <w:rsid w:val="006C1AF2"/>
    <w:rsid w:val="007530A7"/>
    <w:rsid w:val="00753D1D"/>
    <w:rsid w:val="00767CA2"/>
    <w:rsid w:val="00790BCB"/>
    <w:rsid w:val="00791DC1"/>
    <w:rsid w:val="007A1ACC"/>
    <w:rsid w:val="007C3F4E"/>
    <w:rsid w:val="007F188A"/>
    <w:rsid w:val="007F48E3"/>
    <w:rsid w:val="008132C2"/>
    <w:rsid w:val="00814EAF"/>
    <w:rsid w:val="00831D1E"/>
    <w:rsid w:val="00843504"/>
    <w:rsid w:val="00843FA9"/>
    <w:rsid w:val="00846F48"/>
    <w:rsid w:val="008646BC"/>
    <w:rsid w:val="00867A95"/>
    <w:rsid w:val="008851A3"/>
    <w:rsid w:val="008A3EB0"/>
    <w:rsid w:val="008B7790"/>
    <w:rsid w:val="008C279A"/>
    <w:rsid w:val="00914327"/>
    <w:rsid w:val="0091784F"/>
    <w:rsid w:val="00955A3E"/>
    <w:rsid w:val="009748ED"/>
    <w:rsid w:val="009D7426"/>
    <w:rsid w:val="009E0F33"/>
    <w:rsid w:val="009E4B18"/>
    <w:rsid w:val="00A205E8"/>
    <w:rsid w:val="00A756FD"/>
    <w:rsid w:val="00AB57CB"/>
    <w:rsid w:val="00AD1602"/>
    <w:rsid w:val="00B15E92"/>
    <w:rsid w:val="00B16CB1"/>
    <w:rsid w:val="00B22931"/>
    <w:rsid w:val="00B630DC"/>
    <w:rsid w:val="00B76472"/>
    <w:rsid w:val="00B76BF2"/>
    <w:rsid w:val="00BD511F"/>
    <w:rsid w:val="00BD561D"/>
    <w:rsid w:val="00C3013E"/>
    <w:rsid w:val="00C37178"/>
    <w:rsid w:val="00C87F23"/>
    <w:rsid w:val="00C91924"/>
    <w:rsid w:val="00C95CC0"/>
    <w:rsid w:val="00CA00EA"/>
    <w:rsid w:val="00CA5712"/>
    <w:rsid w:val="00CB495A"/>
    <w:rsid w:val="00CD27FB"/>
    <w:rsid w:val="00CD682E"/>
    <w:rsid w:val="00CE0FB4"/>
    <w:rsid w:val="00CF358B"/>
    <w:rsid w:val="00CF7C19"/>
    <w:rsid w:val="00D10914"/>
    <w:rsid w:val="00D14141"/>
    <w:rsid w:val="00D17C11"/>
    <w:rsid w:val="00D408FE"/>
    <w:rsid w:val="00D40AF7"/>
    <w:rsid w:val="00D60983"/>
    <w:rsid w:val="00D631B3"/>
    <w:rsid w:val="00D70986"/>
    <w:rsid w:val="00DB662B"/>
    <w:rsid w:val="00DF5CDA"/>
    <w:rsid w:val="00EB4439"/>
    <w:rsid w:val="00EF32D2"/>
    <w:rsid w:val="00F10604"/>
    <w:rsid w:val="00F54A5F"/>
    <w:rsid w:val="00F5752D"/>
    <w:rsid w:val="00F7634D"/>
    <w:rsid w:val="00F87E71"/>
    <w:rsid w:val="00FC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92"/>
  </w:style>
  <w:style w:type="paragraph" w:styleId="Footer">
    <w:name w:val="footer"/>
    <w:basedOn w:val="Normal"/>
    <w:link w:val="FooterChar"/>
    <w:uiPriority w:val="99"/>
    <w:unhideWhenUsed/>
    <w:rsid w:val="0066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92"/>
  </w:style>
  <w:style w:type="paragraph" w:styleId="BalloonText">
    <w:name w:val="Balloon Text"/>
    <w:basedOn w:val="Normal"/>
    <w:link w:val="BalloonTextChar"/>
    <w:uiPriority w:val="99"/>
    <w:semiHidden/>
    <w:unhideWhenUsed/>
    <w:rsid w:val="002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D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92"/>
  </w:style>
  <w:style w:type="paragraph" w:styleId="Footer">
    <w:name w:val="footer"/>
    <w:basedOn w:val="Normal"/>
    <w:link w:val="FooterChar"/>
    <w:uiPriority w:val="99"/>
    <w:unhideWhenUsed/>
    <w:rsid w:val="0066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92"/>
  </w:style>
  <w:style w:type="paragraph" w:styleId="BalloonText">
    <w:name w:val="Balloon Text"/>
    <w:basedOn w:val="Normal"/>
    <w:link w:val="BalloonTextChar"/>
    <w:uiPriority w:val="99"/>
    <w:semiHidden/>
    <w:unhideWhenUsed/>
    <w:rsid w:val="002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D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68E4A-0B2C-42C0-8299-44E7DAFED0F2}"/>
</file>

<file path=customXml/itemProps2.xml><?xml version="1.0" encoding="utf-8"?>
<ds:datastoreItem xmlns:ds="http://schemas.openxmlformats.org/officeDocument/2006/customXml" ds:itemID="{A31779EE-8CB8-48CF-873D-7AACBF95435E}"/>
</file>

<file path=customXml/itemProps3.xml><?xml version="1.0" encoding="utf-8"?>
<ds:datastoreItem xmlns:ds="http://schemas.openxmlformats.org/officeDocument/2006/customXml" ds:itemID="{3732B04D-AC44-4E7D-8337-F75B5BFDA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Mission1</cp:lastModifiedBy>
  <cp:revision>6</cp:revision>
  <cp:lastPrinted>2018-01-22T16:25:00Z</cp:lastPrinted>
  <dcterms:created xsi:type="dcterms:W3CDTF">2018-01-22T11:46:00Z</dcterms:created>
  <dcterms:modified xsi:type="dcterms:W3CDTF">2018-01-22T16:26:00Z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