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04" w:rsidRPr="009E3B34" w:rsidRDefault="00351C04" w:rsidP="00351C04">
      <w:pPr>
        <w:spacing w:after="0" w:line="240" w:lineRule="auto"/>
        <w:rPr>
          <w:lang w:val="en-GB"/>
        </w:rPr>
      </w:pP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</w:p>
    <w:p w:rsidR="00351C04" w:rsidRPr="00660909" w:rsidRDefault="00351C04" w:rsidP="00351C04">
      <w:pPr>
        <w:spacing w:after="0" w:line="240" w:lineRule="auto"/>
        <w:jc w:val="center"/>
        <w:rPr>
          <w:rFonts w:asciiTheme="minorHAnsi" w:hAnsiTheme="minorHAnsi"/>
          <w:b/>
          <w:lang w:val="en-US"/>
        </w:rPr>
      </w:pPr>
    </w:p>
    <w:p w:rsidR="00351C04" w:rsidRPr="00660909" w:rsidRDefault="00351C04" w:rsidP="00351C04">
      <w:pPr>
        <w:spacing w:after="0" w:line="240" w:lineRule="auto"/>
        <w:jc w:val="center"/>
        <w:rPr>
          <w:rFonts w:asciiTheme="minorHAnsi" w:hAnsiTheme="minorHAnsi"/>
          <w:b/>
          <w:lang w:val="en-US"/>
        </w:rPr>
      </w:pPr>
    </w:p>
    <w:p w:rsidR="00351C04" w:rsidRDefault="00351C04" w:rsidP="00351C04">
      <w:pPr>
        <w:spacing w:after="0" w:line="240" w:lineRule="auto"/>
        <w:contextualSpacing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42</w:t>
      </w:r>
      <w:r w:rsidRPr="000F4752">
        <w:rPr>
          <w:rFonts w:asciiTheme="minorHAnsi" w:hAnsiTheme="minorHAnsi"/>
          <w:b/>
          <w:vertAlign w:val="superscript"/>
          <w:lang w:val="en-US"/>
        </w:rPr>
        <w:t>nd</w:t>
      </w:r>
      <w:r>
        <w:rPr>
          <w:rFonts w:asciiTheme="minorHAnsi" w:hAnsiTheme="minorHAnsi"/>
          <w:b/>
          <w:lang w:val="en-US"/>
        </w:rPr>
        <w:t xml:space="preserve"> session of the Universal Periodic Review</w:t>
      </w:r>
    </w:p>
    <w:p w:rsidR="00351C04" w:rsidRPr="00D32281" w:rsidRDefault="00351C04" w:rsidP="00351C04">
      <w:pPr>
        <w:spacing w:after="0" w:line="240" w:lineRule="auto"/>
        <w:contextualSpacing/>
        <w:jc w:val="center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 xml:space="preserve">Review of </w:t>
      </w:r>
      <w:r w:rsidR="00BD12C8">
        <w:rPr>
          <w:rFonts w:asciiTheme="minorHAnsi" w:hAnsiTheme="minorHAnsi"/>
          <w:b/>
          <w:u w:val="single"/>
          <w:lang w:val="en-US"/>
        </w:rPr>
        <w:t>United Arab Emirates</w:t>
      </w:r>
    </w:p>
    <w:p w:rsidR="00351C04" w:rsidRDefault="00351C04" w:rsidP="00351C04">
      <w:pPr>
        <w:spacing w:after="0" w:line="240" w:lineRule="auto"/>
        <w:contextualSpacing/>
        <w:jc w:val="right"/>
        <w:rPr>
          <w:rFonts w:asciiTheme="minorHAnsi" w:hAnsiTheme="minorHAnsi"/>
          <w:lang w:val="en-US"/>
        </w:rPr>
      </w:pPr>
      <w:bookmarkStart w:id="0" w:name="_Hlk114230897"/>
    </w:p>
    <w:p w:rsidR="00351C04" w:rsidRPr="00660909" w:rsidRDefault="00BD12C8" w:rsidP="00351C04">
      <w:pPr>
        <w:spacing w:after="0" w:line="240" w:lineRule="auto"/>
        <w:contextualSpacing/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8</w:t>
      </w:r>
      <w:r w:rsidR="00351C0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May</w:t>
      </w:r>
      <w:r w:rsidR="00351C04" w:rsidRPr="00660909">
        <w:rPr>
          <w:rFonts w:asciiTheme="minorHAnsi" w:hAnsiTheme="minorHAnsi"/>
          <w:lang w:val="en-US"/>
        </w:rPr>
        <w:t xml:space="preserve"> 202</w:t>
      </w:r>
      <w:r w:rsidR="00351C04">
        <w:rPr>
          <w:rFonts w:asciiTheme="minorHAnsi" w:hAnsiTheme="minorHAnsi"/>
          <w:lang w:val="en-US"/>
        </w:rPr>
        <w:t>3</w:t>
      </w:r>
    </w:p>
    <w:bookmarkEnd w:id="0"/>
    <w:p w:rsidR="00351C04" w:rsidRDefault="00351C04" w:rsidP="00351C04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Statement by Austria</w:t>
      </w:r>
    </w:p>
    <w:p w:rsidR="00351C04" w:rsidRDefault="00351C04" w:rsidP="00351C04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en-AU"/>
        </w:rPr>
      </w:pPr>
    </w:p>
    <w:p w:rsidR="00351C04" w:rsidRDefault="00351C04" w:rsidP="00351C04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en-AU"/>
        </w:rPr>
      </w:pPr>
    </w:p>
    <w:p w:rsidR="00351C04" w:rsidRPr="007660E4" w:rsidRDefault="00351C04" w:rsidP="00351C04">
      <w:pPr>
        <w:spacing w:after="0" w:line="240" w:lineRule="auto"/>
        <w:jc w:val="both"/>
        <w:rPr>
          <w:rFonts w:cstheme="minorHAnsi"/>
          <w:noProof/>
          <w:lang w:val="en-US"/>
        </w:rPr>
      </w:pPr>
      <w:r w:rsidRPr="007660E4">
        <w:rPr>
          <w:rFonts w:cstheme="minorHAnsi"/>
          <w:noProof/>
          <w:lang w:val="en-US"/>
        </w:rPr>
        <w:t xml:space="preserve">Austria welcomes the delegation of </w:t>
      </w:r>
      <w:r w:rsidR="00BD12C8">
        <w:rPr>
          <w:rFonts w:cstheme="minorHAnsi"/>
          <w:noProof/>
          <w:lang w:val="en-US"/>
        </w:rPr>
        <w:t>United Arab Emirates</w:t>
      </w:r>
      <w:r w:rsidRPr="007660E4">
        <w:rPr>
          <w:rFonts w:cstheme="minorHAnsi"/>
          <w:noProof/>
          <w:lang w:val="en-US"/>
        </w:rPr>
        <w:t xml:space="preserve"> </w:t>
      </w:r>
      <w:r w:rsidR="003023B9">
        <w:rPr>
          <w:rFonts w:cstheme="minorHAnsi"/>
          <w:noProof/>
          <w:lang w:val="en-US"/>
        </w:rPr>
        <w:t xml:space="preserve">and </w:t>
      </w:r>
      <w:r w:rsidRPr="007660E4">
        <w:rPr>
          <w:rFonts w:cstheme="minorHAnsi"/>
          <w:noProof/>
          <w:lang w:val="en-US"/>
        </w:rPr>
        <w:t xml:space="preserve">thanks them for </w:t>
      </w:r>
      <w:r>
        <w:rPr>
          <w:rFonts w:cstheme="minorHAnsi"/>
          <w:noProof/>
          <w:lang w:val="en-US"/>
        </w:rPr>
        <w:t>their presentation.</w:t>
      </w:r>
    </w:p>
    <w:p w:rsidR="00262EA8" w:rsidRPr="007660E4" w:rsidRDefault="00262EA8" w:rsidP="00351C04">
      <w:pPr>
        <w:spacing w:after="0" w:line="240" w:lineRule="auto"/>
        <w:jc w:val="both"/>
        <w:rPr>
          <w:rFonts w:cstheme="minorHAnsi"/>
          <w:noProof/>
          <w:lang w:val="en-US"/>
        </w:rPr>
      </w:pPr>
    </w:p>
    <w:p w:rsidR="00351C04" w:rsidRDefault="00351C04" w:rsidP="00351C04">
      <w:pPr>
        <w:spacing w:after="0" w:line="240" w:lineRule="auto"/>
        <w:jc w:val="both"/>
        <w:rPr>
          <w:rFonts w:asciiTheme="minorHAnsi" w:eastAsiaTheme="minorEastAsia" w:hAnsiTheme="minorHAnsi" w:cs="Times New Roman"/>
          <w:sz w:val="23"/>
          <w:szCs w:val="23"/>
          <w:lang w:val="en-US"/>
        </w:rPr>
      </w:pPr>
      <w:r w:rsidRPr="007660E4">
        <w:rPr>
          <w:rFonts w:cstheme="minorHAnsi"/>
          <w:noProof/>
          <w:lang w:val="en-US"/>
        </w:rPr>
        <w:t xml:space="preserve">We </w:t>
      </w:r>
      <w:r>
        <w:rPr>
          <w:rFonts w:cstheme="minorHAnsi"/>
          <w:noProof/>
          <w:lang w:val="en-US"/>
        </w:rPr>
        <w:t>commend the Government of</w:t>
      </w:r>
      <w:r w:rsidRPr="007660E4">
        <w:rPr>
          <w:rFonts w:cstheme="minorHAnsi"/>
          <w:noProof/>
          <w:lang w:val="en-US"/>
        </w:rPr>
        <w:t xml:space="preserve"> </w:t>
      </w:r>
      <w:r w:rsidR="00BD12C8">
        <w:rPr>
          <w:rFonts w:cstheme="minorHAnsi"/>
          <w:noProof/>
          <w:lang w:val="en-US"/>
        </w:rPr>
        <w:t>United Arab Emirate</w:t>
      </w:r>
      <w:r w:rsidR="0059712A">
        <w:rPr>
          <w:rFonts w:cstheme="minorHAnsi"/>
          <w:noProof/>
          <w:lang w:val="en-US"/>
        </w:rPr>
        <w:t>s</w:t>
      </w:r>
      <w:r w:rsidR="00BD12C8">
        <w:rPr>
          <w:rFonts w:cstheme="minorHAnsi"/>
          <w:noProof/>
          <w:lang w:val="en-US"/>
        </w:rPr>
        <w:t xml:space="preserve"> </w:t>
      </w:r>
      <w:r>
        <w:rPr>
          <w:rFonts w:cstheme="minorHAnsi"/>
          <w:noProof/>
          <w:lang w:val="en-US"/>
        </w:rPr>
        <w:t xml:space="preserve">for </w:t>
      </w:r>
      <w:r w:rsidRPr="007660E4">
        <w:rPr>
          <w:rFonts w:cstheme="minorHAnsi"/>
          <w:noProof/>
          <w:lang w:val="en-US"/>
        </w:rPr>
        <w:t xml:space="preserve">the efforts </w:t>
      </w:r>
      <w:r>
        <w:rPr>
          <w:rFonts w:cstheme="minorHAnsi"/>
          <w:noProof/>
          <w:lang w:val="en-US"/>
        </w:rPr>
        <w:t>it has made</w:t>
      </w:r>
      <w:r w:rsidRPr="007660E4">
        <w:rPr>
          <w:rFonts w:cstheme="minorHAnsi"/>
          <w:noProof/>
          <w:lang w:val="en-US"/>
        </w:rPr>
        <w:t xml:space="preserve"> to implement the</w:t>
      </w:r>
      <w:r>
        <w:rPr>
          <w:rFonts w:cstheme="minorHAnsi"/>
          <w:noProof/>
          <w:lang w:val="en-US"/>
        </w:rPr>
        <w:t xml:space="preserve"> </w:t>
      </w:r>
      <w:r w:rsidRPr="007660E4">
        <w:rPr>
          <w:rFonts w:cstheme="minorHAnsi"/>
          <w:noProof/>
          <w:lang w:val="en-US"/>
        </w:rPr>
        <w:t>recommendations</w:t>
      </w:r>
      <w:r>
        <w:rPr>
          <w:rFonts w:cstheme="minorHAnsi"/>
          <w:noProof/>
          <w:lang w:val="en-US"/>
        </w:rPr>
        <w:t xml:space="preserve"> since the last review</w:t>
      </w:r>
      <w:r w:rsidR="00BD12C8">
        <w:rPr>
          <w:rFonts w:cstheme="minorHAnsi"/>
          <w:noProof/>
          <w:lang w:val="en-US"/>
        </w:rPr>
        <w:t xml:space="preserve">, </w:t>
      </w:r>
      <w:r w:rsidR="00BD12C8">
        <w:rPr>
          <w:rFonts w:asciiTheme="minorHAnsi" w:eastAsiaTheme="minorEastAsia" w:hAnsiTheme="minorHAnsi" w:cs="Times New Roman"/>
          <w:sz w:val="23"/>
          <w:szCs w:val="23"/>
          <w:lang w:val="en-US"/>
        </w:rPr>
        <w:t>particularly</w:t>
      </w:r>
      <w:r w:rsidR="00BD12C8" w:rsidRPr="00D41916">
        <w:rPr>
          <w:rFonts w:asciiTheme="minorHAnsi" w:eastAsiaTheme="minorEastAsia" w:hAnsiTheme="minorHAnsi" w:cs="Times New Roman"/>
          <w:sz w:val="23"/>
          <w:szCs w:val="23"/>
          <w:lang w:val="en-US"/>
        </w:rPr>
        <w:t xml:space="preserve"> in the area of socio-economic rights</w:t>
      </w:r>
      <w:r w:rsidR="00BD12C8">
        <w:rPr>
          <w:rFonts w:asciiTheme="minorHAnsi" w:eastAsiaTheme="minorEastAsia" w:hAnsiTheme="minorHAnsi" w:cs="Times New Roman"/>
          <w:sz w:val="23"/>
          <w:szCs w:val="23"/>
          <w:lang w:val="en-US"/>
        </w:rPr>
        <w:t>, especially with regard to migrant workers, the adoption of recent laws to strengthen the protection of women and enshrine equal pay and a reform of family law decriminalizing consensual extra-marital relationships and strengthening the protection of children born out of wedlock</w:t>
      </w:r>
      <w:r w:rsidR="00BD12C8" w:rsidRPr="00D41916">
        <w:rPr>
          <w:rFonts w:asciiTheme="minorHAnsi" w:eastAsiaTheme="minorEastAsia" w:hAnsiTheme="minorHAnsi" w:cs="Times New Roman"/>
          <w:sz w:val="23"/>
          <w:szCs w:val="23"/>
          <w:lang w:val="en-US"/>
        </w:rPr>
        <w:t xml:space="preserve">]. </w:t>
      </w:r>
      <w:r w:rsidR="00BD12C8" w:rsidRPr="00412AEA">
        <w:rPr>
          <w:rFonts w:asciiTheme="minorHAnsi" w:eastAsiaTheme="minorEastAsia" w:hAnsiTheme="minorHAnsi" w:cs="Times New Roman"/>
          <w:sz w:val="23"/>
          <w:szCs w:val="23"/>
          <w:lang w:val="en-US"/>
        </w:rPr>
        <w:t xml:space="preserve">We also note </w:t>
      </w:r>
      <w:r w:rsidR="00BD12C8">
        <w:rPr>
          <w:rFonts w:asciiTheme="minorHAnsi" w:eastAsiaTheme="minorEastAsia" w:hAnsiTheme="minorHAnsi" w:cs="Times New Roman"/>
          <w:sz w:val="23"/>
          <w:szCs w:val="23"/>
          <w:lang w:val="en-US"/>
        </w:rPr>
        <w:t xml:space="preserve">the </w:t>
      </w:r>
      <w:r w:rsidR="00BD12C8" w:rsidRPr="00412AEA">
        <w:rPr>
          <w:rFonts w:asciiTheme="minorHAnsi" w:eastAsiaTheme="minorEastAsia" w:hAnsiTheme="minorHAnsi" w:cs="Times New Roman"/>
          <w:sz w:val="23"/>
          <w:szCs w:val="23"/>
          <w:lang w:val="en-US"/>
        </w:rPr>
        <w:t xml:space="preserve">UAE’s multicultural </w:t>
      </w:r>
      <w:r w:rsidR="00BD12C8">
        <w:rPr>
          <w:rFonts w:asciiTheme="minorHAnsi" w:eastAsiaTheme="minorEastAsia" w:hAnsiTheme="minorHAnsi" w:cs="Times New Roman"/>
          <w:sz w:val="23"/>
          <w:szCs w:val="23"/>
          <w:lang w:val="en-US"/>
        </w:rPr>
        <w:t>approach</w:t>
      </w:r>
      <w:r w:rsidR="00901BC0">
        <w:rPr>
          <w:rFonts w:asciiTheme="minorHAnsi" w:eastAsiaTheme="minorEastAsia" w:hAnsiTheme="minorHAnsi" w:cs="Times New Roman"/>
          <w:sz w:val="23"/>
          <w:szCs w:val="23"/>
          <w:lang w:val="en-US"/>
        </w:rPr>
        <w:t>, which emphasizes</w:t>
      </w:r>
      <w:r w:rsidR="00BD12C8" w:rsidRPr="00412AEA">
        <w:rPr>
          <w:rFonts w:asciiTheme="minorHAnsi" w:eastAsiaTheme="minorEastAsia" w:hAnsiTheme="minorHAnsi" w:cs="Times New Roman"/>
          <w:sz w:val="23"/>
          <w:szCs w:val="23"/>
          <w:lang w:val="en-US"/>
        </w:rPr>
        <w:t xml:space="preserve"> tolerance and coexistence to ensure that religious and expatriate minorities can live freely and practice their religions, e.g. the recent opening of the Abrahamic Family House in Abu Dhab</w:t>
      </w:r>
      <w:r w:rsidR="00901BC0">
        <w:rPr>
          <w:rFonts w:asciiTheme="minorHAnsi" w:eastAsiaTheme="minorEastAsia" w:hAnsiTheme="minorHAnsi" w:cs="Times New Roman"/>
          <w:sz w:val="23"/>
          <w:szCs w:val="23"/>
          <w:lang w:val="en-US"/>
        </w:rPr>
        <w:t>i</w:t>
      </w:r>
      <w:r w:rsidR="00BD12C8" w:rsidRPr="00412AEA">
        <w:rPr>
          <w:rFonts w:asciiTheme="minorHAnsi" w:eastAsiaTheme="minorEastAsia" w:hAnsiTheme="minorHAnsi" w:cs="Times New Roman"/>
          <w:sz w:val="23"/>
          <w:szCs w:val="23"/>
          <w:lang w:val="en-US"/>
        </w:rPr>
        <w:t xml:space="preserve">, an interfaith </w:t>
      </w:r>
      <w:proofErr w:type="spellStart"/>
      <w:r w:rsidR="00BD12C8" w:rsidRPr="00412AEA">
        <w:rPr>
          <w:rFonts w:asciiTheme="minorHAnsi" w:eastAsiaTheme="minorEastAsia" w:hAnsiTheme="minorHAnsi" w:cs="Times New Roman"/>
          <w:sz w:val="23"/>
          <w:szCs w:val="23"/>
          <w:lang w:val="en-US"/>
        </w:rPr>
        <w:t>centre</w:t>
      </w:r>
      <w:proofErr w:type="spellEnd"/>
      <w:r w:rsidR="00BD12C8" w:rsidRPr="00412AEA">
        <w:rPr>
          <w:rFonts w:asciiTheme="minorHAnsi" w:eastAsiaTheme="minorEastAsia" w:hAnsiTheme="minorHAnsi" w:cs="Times New Roman"/>
          <w:sz w:val="23"/>
          <w:szCs w:val="23"/>
          <w:lang w:val="en-US"/>
        </w:rPr>
        <w:t>, or a new Hindu temple in Dubai.</w:t>
      </w:r>
    </w:p>
    <w:p w:rsidR="00901BC0" w:rsidRDefault="00901BC0" w:rsidP="00351C04">
      <w:pPr>
        <w:spacing w:after="0" w:line="240" w:lineRule="auto"/>
        <w:jc w:val="both"/>
        <w:rPr>
          <w:rFonts w:cstheme="minorHAnsi"/>
          <w:noProof/>
          <w:lang w:val="en-US"/>
        </w:rPr>
      </w:pPr>
    </w:p>
    <w:p w:rsidR="00901BC0" w:rsidRPr="0063572F" w:rsidRDefault="00901BC0" w:rsidP="00901BC0">
      <w:pPr>
        <w:spacing w:after="0"/>
        <w:jc w:val="both"/>
        <w:rPr>
          <w:rFonts w:eastAsiaTheme="minorEastAsia" w:cs="Times New Roman"/>
          <w:sz w:val="23"/>
          <w:szCs w:val="23"/>
          <w:lang w:val="en-US"/>
        </w:rPr>
      </w:pPr>
      <w:r w:rsidRPr="00D41916">
        <w:rPr>
          <w:rFonts w:eastAsiaTheme="minorEastAsia" w:cs="Times New Roman"/>
          <w:sz w:val="23"/>
          <w:szCs w:val="23"/>
          <w:lang w:val="en-US"/>
        </w:rPr>
        <w:t xml:space="preserve">While Austria </w:t>
      </w:r>
      <w:r>
        <w:rPr>
          <w:rFonts w:eastAsiaTheme="minorEastAsia" w:cs="Times New Roman"/>
          <w:sz w:val="23"/>
          <w:szCs w:val="23"/>
          <w:lang w:val="en-US"/>
        </w:rPr>
        <w:t>welcomes</w:t>
      </w:r>
      <w:r w:rsidRPr="00D41916">
        <w:rPr>
          <w:rFonts w:eastAsiaTheme="minorEastAsia" w:cs="Times New Roman"/>
          <w:sz w:val="23"/>
          <w:szCs w:val="23"/>
          <w:lang w:val="en-US"/>
        </w:rPr>
        <w:t xml:space="preserve"> the UAE’s acceptance of our previous recommendation </w:t>
      </w:r>
      <w:r>
        <w:rPr>
          <w:rFonts w:eastAsiaTheme="minorEastAsia" w:cs="Times New Roman"/>
          <w:sz w:val="23"/>
          <w:szCs w:val="23"/>
          <w:lang w:val="en-US"/>
        </w:rPr>
        <w:t>on</w:t>
      </w:r>
      <w:r w:rsidRPr="00D41916">
        <w:rPr>
          <w:rFonts w:eastAsiaTheme="minorEastAsia" w:cs="Times New Roman"/>
          <w:sz w:val="23"/>
          <w:szCs w:val="23"/>
          <w:lang w:val="en-US"/>
        </w:rPr>
        <w:t xml:space="preserve"> the protection of human rights defenders and journalists, we </w:t>
      </w:r>
      <w:r>
        <w:rPr>
          <w:rFonts w:eastAsiaTheme="minorEastAsia" w:cs="Times New Roman"/>
          <w:sz w:val="23"/>
          <w:szCs w:val="23"/>
          <w:lang w:val="en-US"/>
        </w:rPr>
        <w:t>remain</w:t>
      </w:r>
      <w:r w:rsidRPr="00D41916">
        <w:rPr>
          <w:rFonts w:eastAsiaTheme="minorEastAsia" w:cs="Times New Roman"/>
          <w:sz w:val="23"/>
          <w:szCs w:val="23"/>
          <w:lang w:val="en-US"/>
        </w:rPr>
        <w:t xml:space="preserve"> concerned about the </w:t>
      </w:r>
      <w:r>
        <w:rPr>
          <w:rFonts w:eastAsiaTheme="minorEastAsia" w:cs="Times New Roman"/>
          <w:sz w:val="23"/>
          <w:szCs w:val="23"/>
          <w:lang w:val="en-US"/>
        </w:rPr>
        <w:t xml:space="preserve">restrictions on </w:t>
      </w:r>
      <w:r w:rsidRPr="00D41916">
        <w:rPr>
          <w:rFonts w:eastAsiaTheme="minorEastAsia" w:cs="Times New Roman"/>
          <w:sz w:val="23"/>
          <w:szCs w:val="23"/>
          <w:lang w:val="en-US"/>
        </w:rPr>
        <w:t>civil and political rights</w:t>
      </w:r>
      <w:r>
        <w:rPr>
          <w:rFonts w:eastAsiaTheme="minorEastAsia" w:cs="Times New Roman"/>
          <w:sz w:val="23"/>
          <w:szCs w:val="23"/>
          <w:lang w:val="en-US"/>
        </w:rPr>
        <w:t xml:space="preserve"> and political pluralism</w:t>
      </w:r>
      <w:r w:rsidRPr="00D41916">
        <w:rPr>
          <w:rFonts w:eastAsiaTheme="minorEastAsia" w:cs="Times New Roman"/>
          <w:sz w:val="23"/>
          <w:szCs w:val="23"/>
          <w:lang w:val="en-US"/>
        </w:rPr>
        <w:t>,</w:t>
      </w:r>
      <w:r>
        <w:rPr>
          <w:rFonts w:eastAsiaTheme="minorEastAsia" w:cs="Times New Roman"/>
          <w:sz w:val="23"/>
          <w:szCs w:val="23"/>
          <w:lang w:val="en-US"/>
        </w:rPr>
        <w:t xml:space="preserve"> such as censorship of the media, imprisonment of peaceful critics, political dissidents and human rights activists. The death penalty also remains a punishment for certain grave crimes.</w:t>
      </w:r>
      <w:bookmarkStart w:id="1" w:name="_GoBack"/>
      <w:bookmarkEnd w:id="1"/>
    </w:p>
    <w:p w:rsidR="00901BC0" w:rsidRDefault="00901BC0" w:rsidP="00351C04">
      <w:pPr>
        <w:spacing w:after="0" w:line="240" w:lineRule="auto"/>
        <w:jc w:val="both"/>
        <w:rPr>
          <w:rFonts w:cstheme="minorHAnsi"/>
          <w:noProof/>
          <w:lang w:val="en-US"/>
        </w:rPr>
      </w:pPr>
    </w:p>
    <w:p w:rsidR="00351C04" w:rsidRDefault="00351C04" w:rsidP="00351C04">
      <w:pPr>
        <w:spacing w:after="0" w:line="240" w:lineRule="auto"/>
        <w:jc w:val="both"/>
        <w:rPr>
          <w:rFonts w:cstheme="minorHAnsi"/>
          <w:noProof/>
          <w:lang w:val="en-US"/>
        </w:rPr>
      </w:pPr>
      <w:r w:rsidRPr="007660E4">
        <w:rPr>
          <w:rFonts w:cstheme="minorHAnsi"/>
          <w:noProof/>
          <w:lang w:val="en-US"/>
        </w:rPr>
        <w:t>At the same time</w:t>
      </w:r>
      <w:r>
        <w:rPr>
          <w:rFonts w:cstheme="minorHAnsi"/>
          <w:noProof/>
          <w:lang w:val="en-US"/>
        </w:rPr>
        <w:t>, we notice</w:t>
      </w:r>
      <w:r w:rsidRPr="007660E4">
        <w:rPr>
          <w:rFonts w:cstheme="minorHAnsi"/>
          <w:noProof/>
          <w:lang w:val="en-US"/>
        </w:rPr>
        <w:t xml:space="preserve"> </w:t>
      </w:r>
      <w:r>
        <w:rPr>
          <w:rFonts w:cstheme="minorHAnsi"/>
          <w:noProof/>
          <w:lang w:val="en-US"/>
        </w:rPr>
        <w:t xml:space="preserve">gaps in some areas and would therefore like to offer the following </w:t>
      </w:r>
      <w:r w:rsidRPr="002E648F">
        <w:rPr>
          <w:rFonts w:cstheme="minorHAnsi"/>
          <w:noProof/>
          <w:u w:val="single"/>
          <w:lang w:val="en-US"/>
        </w:rPr>
        <w:t>recommen</w:t>
      </w:r>
      <w:r w:rsidR="0068623E">
        <w:rPr>
          <w:rFonts w:cstheme="minorHAnsi"/>
          <w:noProof/>
          <w:u w:val="single"/>
          <w:lang w:val="en-US"/>
        </w:rPr>
        <w:t>d</w:t>
      </w:r>
      <w:r w:rsidRPr="002E648F">
        <w:rPr>
          <w:rFonts w:cstheme="minorHAnsi"/>
          <w:noProof/>
          <w:u w:val="single"/>
          <w:lang w:val="en-US"/>
        </w:rPr>
        <w:t>ations:</w:t>
      </w:r>
      <w:r>
        <w:rPr>
          <w:rFonts w:cstheme="minorHAnsi"/>
          <w:noProof/>
          <w:lang w:val="en-US"/>
        </w:rPr>
        <w:t xml:space="preserve"> </w:t>
      </w:r>
    </w:p>
    <w:p w:rsidR="00351C04" w:rsidRPr="009B651F" w:rsidRDefault="00351C04" w:rsidP="00351C04">
      <w:pPr>
        <w:spacing w:after="0" w:line="240" w:lineRule="auto"/>
        <w:jc w:val="both"/>
        <w:rPr>
          <w:rFonts w:cstheme="minorHAnsi"/>
          <w:noProof/>
          <w:lang w:val="en-US"/>
        </w:rPr>
      </w:pPr>
    </w:p>
    <w:p w:rsidR="00B50989" w:rsidRDefault="00901BC0" w:rsidP="0059712A">
      <w:pPr>
        <w:pStyle w:val="Listenabsatz"/>
        <w:numPr>
          <w:ilvl w:val="0"/>
          <w:numId w:val="2"/>
        </w:numPr>
        <w:jc w:val="both"/>
        <w:rPr>
          <w:lang w:val="en-US"/>
        </w:rPr>
      </w:pPr>
      <w:r w:rsidRPr="00901BC0">
        <w:rPr>
          <w:lang w:val="en-US"/>
        </w:rPr>
        <w:t>Abolish the death penalty and ensure that fair trial guarantees are properly implemented</w:t>
      </w:r>
      <w:r>
        <w:rPr>
          <w:lang w:val="en-US"/>
        </w:rPr>
        <w:t>.</w:t>
      </w:r>
    </w:p>
    <w:p w:rsidR="00901BC0" w:rsidRDefault="00901BC0" w:rsidP="0059712A">
      <w:pPr>
        <w:pStyle w:val="Listenabsatz"/>
        <w:numPr>
          <w:ilvl w:val="0"/>
          <w:numId w:val="2"/>
        </w:numPr>
        <w:jc w:val="both"/>
        <w:rPr>
          <w:lang w:val="en-US"/>
        </w:rPr>
      </w:pPr>
      <w:r w:rsidRPr="00901BC0">
        <w:rPr>
          <w:lang w:val="en-US"/>
        </w:rPr>
        <w:t xml:space="preserve">Take steps to </w:t>
      </w:r>
      <w:r w:rsidR="005F2D83">
        <w:rPr>
          <w:lang w:val="en-US"/>
        </w:rPr>
        <w:t xml:space="preserve">ensure adequate protection of media freedom and safety of journalists, media workers as well as human rights activists from all forms of violence, </w:t>
      </w:r>
      <w:r w:rsidRPr="00901BC0">
        <w:rPr>
          <w:lang w:val="en-US"/>
        </w:rPr>
        <w:t>harassment or intimidation</w:t>
      </w:r>
      <w:r w:rsidR="005F2D83">
        <w:rPr>
          <w:lang w:val="en-US"/>
        </w:rPr>
        <w:t>.</w:t>
      </w:r>
    </w:p>
    <w:p w:rsidR="005F2D83" w:rsidRDefault="005F2D83" w:rsidP="0059712A">
      <w:pPr>
        <w:pStyle w:val="Listenabsatz"/>
        <w:numPr>
          <w:ilvl w:val="0"/>
          <w:numId w:val="2"/>
        </w:numPr>
        <w:jc w:val="both"/>
        <w:rPr>
          <w:lang w:val="en-US"/>
        </w:rPr>
      </w:pPr>
      <w:r w:rsidRPr="005F2D83">
        <w:rPr>
          <w:lang w:val="en-US"/>
        </w:rPr>
        <w:t>Promote the fundamental principles of equality and non-discrimination by developing specific legislation to protect against all forms of violence and discrimination against persons based on their actual or perceived gender identity and sexual orientation.</w:t>
      </w:r>
    </w:p>
    <w:p w:rsidR="0059712A" w:rsidRDefault="0059712A" w:rsidP="0059712A">
      <w:pPr>
        <w:pStyle w:val="Listenabsatz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End </w:t>
      </w:r>
      <w:r w:rsidR="00966177" w:rsidRPr="00966177">
        <w:rPr>
          <w:lang w:val="en-US"/>
        </w:rPr>
        <w:t>discrimina</w:t>
      </w:r>
      <w:r>
        <w:rPr>
          <w:lang w:val="en-US"/>
        </w:rPr>
        <w:t>tory practices</w:t>
      </w:r>
      <w:r w:rsidR="00966177" w:rsidRPr="00966177">
        <w:rPr>
          <w:lang w:val="en-US"/>
        </w:rPr>
        <w:t xml:space="preserve"> against women in law and practice</w:t>
      </w:r>
      <w:r>
        <w:rPr>
          <w:lang w:val="en-US"/>
        </w:rPr>
        <w:t>, including</w:t>
      </w:r>
      <w:r w:rsidRPr="0059712A">
        <w:rPr>
          <w:lang w:val="en-US"/>
        </w:rPr>
        <w:t xml:space="preserve"> </w:t>
      </w:r>
      <w:r>
        <w:rPr>
          <w:lang w:val="en-US"/>
        </w:rPr>
        <w:t>by r</w:t>
      </w:r>
      <w:r w:rsidRPr="0059712A">
        <w:rPr>
          <w:lang w:val="en-US"/>
        </w:rPr>
        <w:t>emov</w:t>
      </w:r>
      <w:r>
        <w:rPr>
          <w:lang w:val="en-US"/>
        </w:rPr>
        <w:t xml:space="preserve">ing </w:t>
      </w:r>
      <w:r w:rsidRPr="0059712A">
        <w:rPr>
          <w:lang w:val="en-US"/>
        </w:rPr>
        <w:t>laws that continue to give men guardianship over women</w:t>
      </w:r>
      <w:r>
        <w:rPr>
          <w:lang w:val="en-US"/>
        </w:rPr>
        <w:t>.</w:t>
      </w:r>
    </w:p>
    <w:p w:rsidR="009723A6" w:rsidRPr="0059712A" w:rsidRDefault="009723A6" w:rsidP="0059712A">
      <w:pPr>
        <w:rPr>
          <w:lang w:val="en-US"/>
        </w:rPr>
      </w:pPr>
    </w:p>
    <w:sectPr w:rsidR="009723A6" w:rsidRPr="0059712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D83" w:rsidRDefault="005F2D83">
      <w:pPr>
        <w:spacing w:after="0" w:line="240" w:lineRule="auto"/>
      </w:pPr>
      <w:r>
        <w:separator/>
      </w:r>
    </w:p>
  </w:endnote>
  <w:endnote w:type="continuationSeparator" w:id="0">
    <w:p w:rsidR="005F2D83" w:rsidRDefault="005F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D83" w:rsidRDefault="005F2D83">
      <w:pPr>
        <w:spacing w:after="0" w:line="240" w:lineRule="auto"/>
      </w:pPr>
      <w:r>
        <w:separator/>
      </w:r>
    </w:p>
  </w:footnote>
  <w:footnote w:type="continuationSeparator" w:id="0">
    <w:p w:rsidR="005F2D83" w:rsidRDefault="005F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D83" w:rsidRPr="0025124A" w:rsidRDefault="005F2D83" w:rsidP="00BD12C8">
    <w:pPr>
      <w:pStyle w:val="Kopfzeile"/>
      <w:tabs>
        <w:tab w:val="clear" w:pos="4536"/>
      </w:tabs>
      <w:rPr>
        <w:i/>
      </w:rPr>
    </w:pPr>
    <w:r>
      <w:rPr>
        <w:i/>
        <w:noProof/>
        <w:lang w:eastAsia="ko-KR" w:bidi="ug-CN"/>
      </w:rPr>
      <w:drawing>
        <wp:anchor distT="0" distB="0" distL="114300" distR="114300" simplePos="0" relativeHeight="251659264" behindDoc="0" locked="0" layoutInCell="1" allowOverlap="1" wp14:anchorId="049E2E1C" wp14:editId="435B9A26">
          <wp:simplePos x="0" y="0"/>
          <wp:positionH relativeFrom="column">
            <wp:posOffset>-461645</wp:posOffset>
          </wp:positionH>
          <wp:positionV relativeFrom="paragraph">
            <wp:posOffset>7620</wp:posOffset>
          </wp:positionV>
          <wp:extent cx="2390140" cy="70104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  <w:t xml:space="preserve">Check </w:t>
    </w:r>
    <w:proofErr w:type="spellStart"/>
    <w:r>
      <w:rPr>
        <w:i/>
      </w:rPr>
      <w:t>against</w:t>
    </w:r>
    <w:proofErr w:type="spellEnd"/>
    <w:r>
      <w:rPr>
        <w:i/>
      </w:rPr>
      <w:t xml:space="preserve"> </w:t>
    </w:r>
    <w:proofErr w:type="spellStart"/>
    <w:r>
      <w:rPr>
        <w:i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4133"/>
    <w:multiLevelType w:val="hybridMultilevel"/>
    <w:tmpl w:val="236EBB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B7889"/>
    <w:multiLevelType w:val="hybridMultilevel"/>
    <w:tmpl w:val="39B087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04"/>
    <w:rsid w:val="00095869"/>
    <w:rsid w:val="00262EA8"/>
    <w:rsid w:val="003023B9"/>
    <w:rsid w:val="00351C04"/>
    <w:rsid w:val="00431124"/>
    <w:rsid w:val="0059712A"/>
    <w:rsid w:val="005F2D83"/>
    <w:rsid w:val="0068623E"/>
    <w:rsid w:val="006E0BB9"/>
    <w:rsid w:val="00795616"/>
    <w:rsid w:val="00901BC0"/>
    <w:rsid w:val="00966177"/>
    <w:rsid w:val="009723A6"/>
    <w:rsid w:val="00B50989"/>
    <w:rsid w:val="00B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DAFE"/>
  <w15:chartTrackingRefBased/>
  <w15:docId w15:val="{59204284-7AEB-4E33-88F4-ED72F441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1C04"/>
    <w:pPr>
      <w:spacing w:after="200" w:line="276" w:lineRule="auto"/>
    </w:pPr>
    <w:rPr>
      <w:rFonts w:ascii="Corbel" w:hAnsi="Corbe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C04"/>
    <w:rPr>
      <w:rFonts w:ascii="Corbel" w:hAnsi="Corbe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5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C04"/>
    <w:rPr>
      <w:rFonts w:ascii="Corbel" w:hAnsi="Corbel"/>
      <w:sz w:val="24"/>
    </w:rPr>
  </w:style>
  <w:style w:type="paragraph" w:styleId="Listenabsatz">
    <w:name w:val="List Paragraph"/>
    <w:basedOn w:val="Standard"/>
    <w:uiPriority w:val="34"/>
    <w:qFormat/>
    <w:rsid w:val="0035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DFCA3-DDEA-42B6-B95E-D54A3836579E}"/>
</file>

<file path=customXml/itemProps2.xml><?xml version="1.0" encoding="utf-8"?>
<ds:datastoreItem xmlns:ds="http://schemas.openxmlformats.org/officeDocument/2006/customXml" ds:itemID="{C2131548-A152-4637-8716-B4712275C215}"/>
</file>

<file path=customXml/itemProps3.xml><?xml version="1.0" encoding="utf-8"?>
<ds:datastoreItem xmlns:ds="http://schemas.openxmlformats.org/officeDocument/2006/customXml" ds:itemID="{01296668-7EE5-42E0-9E44-04CE6ECA8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SCHAUFLER Katharina &lt;OV Genf&gt;</dc:creator>
  <cp:keywords/>
  <dc:description/>
  <cp:lastModifiedBy>SCHAUFLER Katharina &lt;OV Genf&gt;</cp:lastModifiedBy>
  <cp:revision>6</cp:revision>
  <cp:lastPrinted>2023-01-23T10:52:00Z</cp:lastPrinted>
  <dcterms:created xsi:type="dcterms:W3CDTF">2023-01-23T11:01:00Z</dcterms:created>
  <dcterms:modified xsi:type="dcterms:W3CDTF">2023-05-05T12:48:00Z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