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</w:p>
    <w:p w:rsidR="001F6C36" w:rsidRPr="001F6C36" w:rsidRDefault="001F6C36" w:rsidP="00222421">
      <w:pPr>
        <w:jc w:val="center"/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</w:pP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</w:t>
      </w:r>
      <w:r w:rsidR="003467B4">
        <w:rPr>
          <w:rFonts w:ascii="Sitka Small" w:hAnsi="Sitka Small" w:cs="Sakkal Majalla" w:hint="cs"/>
          <w:b/>
          <w:bCs/>
          <w:sz w:val="32"/>
          <w:szCs w:val="32"/>
          <w:rtl/>
        </w:rPr>
        <w:t>من آلية المراجعة الدورية الشاملة</w:t>
      </w:r>
      <w:r w:rsidRPr="001F6C36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</w:t>
      </w:r>
      <w:r w:rsidR="00222421">
        <w:rPr>
          <w:rFonts w:ascii="Sitka Small" w:hAnsi="Sitka Small" w:cs="Sakkal Majalla"/>
          <w:b/>
          <w:bCs/>
          <w:sz w:val="32"/>
          <w:szCs w:val="32"/>
        </w:rPr>
        <w:t xml:space="preserve">43 </w:t>
      </w:r>
    </w:p>
    <w:p w:rsidR="001F6C36" w:rsidRPr="003467B4" w:rsidRDefault="003467B4" w:rsidP="003467B4">
      <w:pPr>
        <w:pStyle w:val="a6"/>
        <w:numPr>
          <w:ilvl w:val="0"/>
          <w:numId w:val="5"/>
        </w:num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 xml:space="preserve">12 أيار </w:t>
      </w:r>
      <w:r w:rsidR="001F6C36" w:rsidRPr="003467B4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-  2023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:rsidR="008A1CFF" w:rsidRPr="003467B4" w:rsidRDefault="008A1CFF" w:rsidP="003467B4">
      <w:pPr>
        <w:jc w:val="center"/>
        <w:rPr>
          <w:rFonts w:ascii="Sitka Small" w:hAnsi="Sitka Small" w:cs="Sakkal Majalla"/>
          <w:b/>
          <w:bCs/>
          <w:sz w:val="32"/>
          <w:szCs w:val="32"/>
          <w:lang w:val="de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</w:t>
      </w:r>
      <w:r w:rsidR="003467B4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الدورية الشاملة لإمارة ليختنشتاين </w:t>
      </w:r>
    </w:p>
    <w:p w:rsidR="003467B4" w:rsidRPr="003467B4" w:rsidRDefault="008A1CFF" w:rsidP="003467B4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646EBB" w:rsidRPr="00D51B6E">
        <w:rPr>
          <w:rFonts w:ascii="Sitka Small" w:hAnsi="Sitka Small" w:cs="Sakkal Majalla"/>
          <w:b/>
          <w:bCs/>
        </w:rPr>
        <w:t xml:space="preserve">the </w:t>
      </w:r>
      <w:r w:rsidR="003467B4" w:rsidRPr="003467B4">
        <w:rPr>
          <w:rFonts w:ascii="Sitka Small" w:hAnsi="Sitka Small" w:cs="Sakkal Majalla"/>
          <w:b/>
          <w:bCs/>
        </w:rPr>
        <w:t>Principality of Liechtenstein</w:t>
      </w:r>
    </w:p>
    <w:p w:rsidR="00D51B6E" w:rsidRPr="006A423B" w:rsidRDefault="00D51B6E" w:rsidP="006A423B">
      <w:pPr>
        <w:jc w:val="center"/>
        <w:rPr>
          <w:rFonts w:ascii="Sitka Small" w:hAnsi="Sitka Small" w:cs="Sakkal Majalla"/>
          <w:b/>
          <w:bCs/>
          <w:lang w:bidi="ar-SY"/>
        </w:rPr>
      </w:pP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7504F7" w:rsidRPr="00D60852" w:rsidRDefault="00646EBB" w:rsidP="0017073D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D60852">
        <w:rPr>
          <w:rFonts w:ascii="Sakkal Majalla" w:hAnsi="Sakkal Majalla" w:cs="Sakkal Majalla"/>
          <w:sz w:val="32"/>
          <w:szCs w:val="32"/>
          <w:rtl/>
          <w:lang w:bidi="ar-SY"/>
        </w:rPr>
        <w:lastRenderedPageBreak/>
        <w:t>شــــــــــــكراً</w:t>
      </w:r>
      <w:r w:rsidR="007504F7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  <w:r w:rsidR="005633BB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السيد الرئيس، </w:t>
      </w:r>
    </w:p>
    <w:p w:rsidR="005633BB" w:rsidRPr="00D60852" w:rsidRDefault="005633BB" w:rsidP="0017073D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bidi="ar-SY"/>
        </w:rPr>
      </w:pP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نوصي: </w:t>
      </w:r>
    </w:p>
    <w:p w:rsidR="00D4440E" w:rsidRPr="00445ACE" w:rsidRDefault="00D4440E" w:rsidP="00D4440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u w:val="single"/>
          <w:lang w:bidi="ar-SY"/>
        </w:rPr>
      </w:pP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وضع حد لاستمرار انخراط نظامها المالي في تيسير التدفقات المالية غير المشروعة المتصلة بجرائم </w:t>
      </w:r>
      <w:r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الاتجار بالبشر والأشكال المعاصرة للرق.</w:t>
      </w:r>
    </w:p>
    <w:p w:rsidR="00174260" w:rsidRPr="00D60852" w:rsidRDefault="00F36FD7" w:rsidP="007C4A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اتخاذ تدابير عاجلة وفعالة </w:t>
      </w:r>
      <w:r w:rsidR="00D4440E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ل</w:t>
      </w:r>
      <w:r w:rsidR="009054EC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حظر </w:t>
      </w:r>
      <w:r w:rsidR="00D4440E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تسهيل نظامها المالي</w:t>
      </w:r>
      <w:r w:rsidR="00D60852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 إتاحة </w:t>
      </w:r>
      <w:r w:rsidR="00B3295B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أي أموال أو أصول</w:t>
      </w:r>
      <w:r w:rsidR="00BD0765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 مالية </w:t>
      </w:r>
      <w:r w:rsidR="00B3295B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أو</w:t>
      </w:r>
      <w:r w:rsidR="00D4440E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 </w:t>
      </w:r>
      <w:r w:rsidR="00B3295B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خدمات مالية أو خدمات أخرى ذات صلة</w:t>
      </w:r>
      <w:r w:rsid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، بصورة مباشرة أو غير مباشرة، </w:t>
      </w:r>
      <w:r w:rsidR="00D4440E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إلى </w:t>
      </w:r>
      <w:r w:rsidR="00B3295B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>التنظيمات الإرهابية أو فرادى الإرهاب</w:t>
      </w:r>
      <w:r w:rsidR="00BD0765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يين لأي غرض من الأغراض، بما </w:t>
      </w:r>
      <w:r w:rsidR="007C4A2F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يشمل، على سبيل المثال لا الحصر، </w:t>
      </w:r>
      <w:r w:rsidR="00B3295B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التجنيد أو التدريب أو السفر، حتى وإن لم يكن لذلك أية صلة بعمل إرهابي محدد.  </w:t>
      </w:r>
    </w:p>
    <w:p w:rsidR="004D53BF" w:rsidRPr="00D60852" w:rsidRDefault="002347C8" w:rsidP="002347C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إجراء </w:t>
      </w:r>
      <w:r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تقييم </w:t>
      </w:r>
      <w:r w:rsidR="00174260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دوري للمخاطر</w:t>
      </w:r>
      <w:r w:rsidR="00D4440E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، أو تحديث التقييم الموجود لديها، </w:t>
      </w:r>
      <w:r w:rsidR="00174260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من أجل تحديد المنظمات غير الربحية المعرضة لخطر تمويل الإرهاب لمنع إساءة استعمال هذه المنظمات من قبل الإرهابيين أو لصالحهم.    </w:t>
      </w:r>
    </w:p>
    <w:p w:rsidR="00251511" w:rsidRPr="00D60852" w:rsidRDefault="00380F0C" w:rsidP="00445ACE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ضمان إجراء تحقيقات فعالة </w:t>
      </w:r>
      <w:r w:rsidR="00445ACE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في </w:t>
      </w:r>
      <w:r w:rsidR="00615E19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 xml:space="preserve">جرائم </w:t>
      </w:r>
      <w:r w:rsidR="00535F24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الاستغلال والاعتداء الجنسي على الأطفال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>،</w:t>
      </w:r>
      <w:r w:rsidR="00535F24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خاصة تلك الميسرة بتكنولوجيا المعلومات والاتصالات</w:t>
      </w:r>
      <w:r w:rsidR="00445ACE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ومعاقبة مرتكبيها</w:t>
      </w:r>
      <w:r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.   </w:t>
      </w:r>
      <w:r w:rsidR="002347C8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</w:p>
    <w:p w:rsidR="006B3E57" w:rsidRPr="00D60852" w:rsidRDefault="0017073D" w:rsidP="002347C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اتخاذ التدابير اللازمة </w:t>
      </w:r>
      <w:r w:rsidR="006B3E57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>ل</w:t>
      </w:r>
      <w:r w:rsidR="002347C8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وضع حد </w:t>
      </w: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>ل</w:t>
      </w:r>
      <w:r w:rsidR="006B3E57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تفشي </w:t>
      </w:r>
      <w:r w:rsidR="006B3E57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خطاب الكراهية العنصرية</w:t>
      </w: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بما يضمن </w:t>
      </w:r>
      <w:r w:rsidR="006B3E57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تجريم </w:t>
      </w:r>
      <w:r w:rsidR="00BE23DC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ومعاقبة </w:t>
      </w:r>
      <w:r w:rsidR="00BD0765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الأعمال </w:t>
      </w:r>
      <w:r w:rsidR="006B3E57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المرتكبة بدوافع عنصرية </w:t>
      </w:r>
      <w:r w:rsidR="00BD0765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من خلال </w:t>
      </w:r>
      <w:r w:rsidR="00D4440E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نصوص تشريعية </w:t>
      </w:r>
      <w:r w:rsidR="006B3E57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>واضحة</w:t>
      </w:r>
      <w:r w:rsidR="00D4440E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. </w:t>
      </w:r>
      <w:r w:rsidR="00BE23DC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</w:t>
      </w:r>
    </w:p>
    <w:p w:rsidR="0088177A" w:rsidRPr="00D60852" w:rsidRDefault="0088177A" w:rsidP="0017073D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>وقف سياسة فرض وتن</w:t>
      </w:r>
      <w:r w:rsidR="0017073D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فيذ </w:t>
      </w:r>
      <w:r w:rsidR="0017073D" w:rsidRPr="00445ACE">
        <w:rPr>
          <w:rFonts w:ascii="Sakkal Majalla" w:hAnsi="Sakkal Majalla" w:cs="Sakkal Majalla" w:hint="cs"/>
          <w:sz w:val="32"/>
          <w:szCs w:val="32"/>
          <w:u w:val="single"/>
          <w:rtl/>
          <w:lang w:bidi="ar-SY"/>
        </w:rPr>
        <w:t>التدابير الانفرادية القسرية</w:t>
      </w:r>
      <w:r w:rsidR="0017073D" w:rsidRPr="00D60852">
        <w:rPr>
          <w:rFonts w:ascii="Sakkal Majalla" w:hAnsi="Sakkal Majalla" w:cs="Sakkal Majalla" w:hint="cs"/>
          <w:sz w:val="32"/>
          <w:szCs w:val="32"/>
          <w:rtl/>
          <w:lang w:bidi="ar-SY"/>
        </w:rPr>
        <w:t xml:space="preserve"> التي تُهدد الحق بالحياة لشعوب الدول الأخرى. </w:t>
      </w:r>
    </w:p>
    <w:p w:rsidR="00D60852" w:rsidRPr="00D60852" w:rsidRDefault="00D60852" w:rsidP="00D6085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60852">
        <w:rPr>
          <w:rFonts w:ascii="Arabic Typesetting" w:hAnsi="Arabic Typesetting" w:cs="Arabic Typesetting"/>
          <w:sz w:val="36"/>
          <w:szCs w:val="36"/>
          <w:lang w:bidi="ar-SY"/>
        </w:rPr>
        <w:t>Thank you, Mr. President</w:t>
      </w:r>
      <w:r w:rsidRPr="00D60852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D60852" w:rsidRDefault="00D60852" w:rsidP="00D60852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D60852">
        <w:rPr>
          <w:rFonts w:ascii="Arabic Typesetting" w:hAnsi="Arabic Typesetting" w:cs="Arabic Typesetting"/>
          <w:sz w:val="36"/>
          <w:szCs w:val="36"/>
          <w:lang w:bidi="ar-SY"/>
        </w:rPr>
        <w:t>We recommend</w:t>
      </w:r>
      <w:r w:rsidRPr="00D60852">
        <w:rPr>
          <w:rFonts w:ascii="Arabic Typesetting" w:hAnsi="Arabic Typesetting" w:cs="Arabic Typesetting"/>
          <w:sz w:val="36"/>
          <w:szCs w:val="36"/>
          <w:rtl/>
          <w:lang w:bidi="ar-SY"/>
        </w:rPr>
        <w:t>:</w:t>
      </w:r>
    </w:p>
    <w:p w:rsidR="00D60852" w:rsidRPr="008024FA" w:rsidRDefault="00D60852" w:rsidP="00F73F14">
      <w:pPr>
        <w:pStyle w:val="a6"/>
        <w:numPr>
          <w:ilvl w:val="0"/>
          <w:numId w:val="6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u w:val="single"/>
          <w:lang w:bidi="ar-SY"/>
        </w:rPr>
      </w:pPr>
      <w:r w:rsidRPr="00D60852">
        <w:rPr>
          <w:rFonts w:ascii="Arabic Typesetting" w:hAnsi="Arabic Typesetting" w:cs="Arabic Typesetting"/>
          <w:sz w:val="36"/>
          <w:szCs w:val="36"/>
          <w:lang w:bidi="ar-SY"/>
        </w:rPr>
        <w:lastRenderedPageBreak/>
        <w:t xml:space="preserve">an end to the continued involvement of its financial system in facilitating illegal financial flows related to </w:t>
      </w:r>
      <w:r w:rsidR="00F73F14" w:rsidRPr="008024FA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human </w:t>
      </w:r>
      <w:r w:rsidRPr="008024FA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trafficking crimes and contemporary forms of slavery</w:t>
      </w:r>
      <w:r w:rsidRPr="008024FA">
        <w:rPr>
          <w:rFonts w:ascii="Arabic Typesetting" w:hAnsi="Arabic Typesetting" w:cs="Arabic Typesetting"/>
          <w:sz w:val="36"/>
          <w:szCs w:val="36"/>
          <w:u w:val="single"/>
          <w:rtl/>
          <w:lang w:bidi="ar-SY"/>
        </w:rPr>
        <w:t>.</w:t>
      </w:r>
    </w:p>
    <w:p w:rsidR="00C9146C" w:rsidRDefault="00D60852" w:rsidP="003E4C8C">
      <w:pPr>
        <w:pStyle w:val="a6"/>
        <w:numPr>
          <w:ilvl w:val="0"/>
          <w:numId w:val="6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C9146C">
        <w:rPr>
          <w:rFonts w:ascii="Arabic Typesetting" w:hAnsi="Arabic Typesetting" w:cs="Arabic Typesetting"/>
          <w:sz w:val="36"/>
          <w:szCs w:val="36"/>
          <w:lang w:bidi="ar-SY"/>
        </w:rPr>
        <w:t xml:space="preserve">Take urgent and effective measures to prohibit the facilitation by its financial system </w:t>
      </w:r>
      <w:r w:rsidR="007C4A2F" w:rsidRPr="00C9146C">
        <w:rPr>
          <w:rFonts w:ascii="Arabic Typesetting" w:hAnsi="Arabic Typesetting" w:cs="Arabic Typesetting"/>
          <w:sz w:val="36"/>
          <w:szCs w:val="36"/>
          <w:lang w:bidi="ar-SY"/>
        </w:rPr>
        <w:t xml:space="preserve">of </w:t>
      </w:r>
      <w:r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making funds, financial assets</w:t>
      </w:r>
      <w:r w:rsidR="003E4C8C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, </w:t>
      </w:r>
      <w:r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financial </w:t>
      </w:r>
      <w:r w:rsidR="007C4A2F"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or other related </w:t>
      </w:r>
      <w:r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services</w:t>
      </w:r>
      <w:r w:rsidR="007C4A2F"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 available</w:t>
      </w:r>
      <w:r w:rsidR="003E4C8C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, directly or indirectly, </w:t>
      </w:r>
      <w:r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to terrorist organizations or individual terrorists</w:t>
      </w:r>
      <w:r w:rsidRPr="00C9146C">
        <w:rPr>
          <w:rFonts w:ascii="Arabic Typesetting" w:hAnsi="Arabic Typesetting" w:cs="Arabic Typesetting"/>
          <w:sz w:val="36"/>
          <w:szCs w:val="36"/>
          <w:lang w:bidi="ar-SY"/>
        </w:rPr>
        <w:t xml:space="preserve"> for any purpose, i</w:t>
      </w:r>
      <w:r w:rsidR="007C4A2F" w:rsidRPr="00C9146C">
        <w:rPr>
          <w:rFonts w:ascii="Arabic Typesetting" w:hAnsi="Arabic Typesetting" w:cs="Arabic Typesetting"/>
          <w:sz w:val="36"/>
          <w:szCs w:val="36"/>
          <w:lang w:bidi="ar-SY"/>
        </w:rPr>
        <w:t>ncluding but not limited to</w:t>
      </w:r>
      <w:r w:rsidR="00222421">
        <w:rPr>
          <w:rFonts w:ascii="Arabic Typesetting" w:hAnsi="Arabic Typesetting" w:cs="Arabic Typesetting"/>
          <w:sz w:val="36"/>
          <w:szCs w:val="36"/>
          <w:lang w:bidi="ar-SY"/>
        </w:rPr>
        <w:t>,</w:t>
      </w:r>
      <w:r w:rsidR="007C4A2F" w:rsidRPr="00C9146C">
        <w:rPr>
          <w:rFonts w:ascii="Arabic Typesetting" w:hAnsi="Arabic Typesetting" w:cs="Arabic Typesetting"/>
          <w:sz w:val="36"/>
          <w:szCs w:val="36"/>
          <w:lang w:bidi="ar-SY"/>
        </w:rPr>
        <w:t xml:space="preserve"> r</w:t>
      </w:r>
      <w:r w:rsidRPr="00C9146C">
        <w:rPr>
          <w:rFonts w:ascii="Arabic Typesetting" w:hAnsi="Arabic Typesetting" w:cs="Arabic Typesetting"/>
          <w:sz w:val="36"/>
          <w:szCs w:val="36"/>
          <w:lang w:bidi="ar-SY"/>
        </w:rPr>
        <w:t xml:space="preserve">ecruitment, training or travel, even </w:t>
      </w:r>
      <w:r w:rsidR="007C4A2F" w:rsidRPr="00C9146C">
        <w:rPr>
          <w:rFonts w:ascii="Arabic Typesetting" w:hAnsi="Arabic Typesetting" w:cs="Arabic Typesetting"/>
          <w:sz w:val="36"/>
          <w:szCs w:val="36"/>
          <w:lang w:bidi="ar-SY"/>
        </w:rPr>
        <w:t xml:space="preserve">in the absence of a link to a </w:t>
      </w:r>
      <w:r w:rsidR="00222421">
        <w:rPr>
          <w:rFonts w:ascii="Arabic Typesetting" w:hAnsi="Arabic Typesetting" w:cs="Arabic Typesetting"/>
          <w:sz w:val="36"/>
          <w:szCs w:val="36"/>
          <w:lang w:bidi="ar-SY"/>
        </w:rPr>
        <w:t xml:space="preserve">specific terrorist act. </w:t>
      </w:r>
    </w:p>
    <w:p w:rsidR="00817570" w:rsidRDefault="00C9146C" w:rsidP="003E4C8C">
      <w:pPr>
        <w:pStyle w:val="a6"/>
        <w:numPr>
          <w:ilvl w:val="0"/>
          <w:numId w:val="6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Conduct a </w:t>
      </w:r>
      <w:r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periodic </w:t>
      </w:r>
      <w:r w:rsidR="00D60852"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risk assessment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, or updating </w:t>
      </w: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the 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existing </w:t>
      </w: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>ones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, to identify non-profit organizations that are </w:t>
      </w:r>
      <w:r w:rsidR="00817570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vulnerable to 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financing terrorism in order to prevent the </w:t>
      </w:r>
      <w:r w:rsidR="00817570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abuse 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of </w:t>
      </w:r>
      <w:r w:rsidR="00817570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such 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organizations by </w:t>
      </w:r>
      <w:r w:rsidR="003E4C8C">
        <w:rPr>
          <w:rFonts w:ascii="Arabic Typesetting" w:hAnsi="Arabic Typesetting" w:cs="Arabic Typesetting"/>
          <w:sz w:val="36"/>
          <w:szCs w:val="36"/>
          <w:lang w:bidi="ar-SY"/>
        </w:rPr>
        <w:t xml:space="preserve">or </w:t>
      </w:r>
      <w:r w:rsidR="00817570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for 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>terrorists</w:t>
      </w:r>
      <w:r w:rsidR="00380F0C">
        <w:rPr>
          <w:rFonts w:ascii="Arabic Typesetting" w:hAnsi="Arabic Typesetting" w:cs="Arabic Typesetting"/>
          <w:sz w:val="36"/>
          <w:szCs w:val="36"/>
          <w:lang w:bidi="ar-SY"/>
        </w:rPr>
        <w:t>.</w:t>
      </w:r>
    </w:p>
    <w:p w:rsidR="00380F0C" w:rsidRDefault="00380F0C" w:rsidP="00A43050">
      <w:pPr>
        <w:pStyle w:val="a6"/>
        <w:numPr>
          <w:ilvl w:val="0"/>
          <w:numId w:val="6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Ensure an effective investigation </w:t>
      </w:r>
      <w:r w:rsidR="00A43050">
        <w:rPr>
          <w:rFonts w:ascii="Arabic Typesetting" w:hAnsi="Arabic Typesetting" w:cs="Arabic Typesetting"/>
          <w:sz w:val="36"/>
          <w:szCs w:val="36"/>
          <w:lang w:bidi="ar-SY"/>
        </w:rPr>
        <w:t xml:space="preserve">in </w:t>
      </w:r>
      <w:r w:rsidRPr="00F73F14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crimes of child sexual exploitation and abuse, </w:t>
      </w:r>
      <w:r w:rsidRPr="00380F0C">
        <w:rPr>
          <w:rFonts w:ascii="Arabic Typesetting" w:hAnsi="Arabic Typesetting" w:cs="Arabic Typesetting"/>
          <w:sz w:val="36"/>
          <w:szCs w:val="36"/>
          <w:lang w:bidi="ar-SY"/>
        </w:rPr>
        <w:t>especially those facilitated by informati</w:t>
      </w:r>
      <w:r w:rsidR="00A43050">
        <w:rPr>
          <w:rFonts w:ascii="Arabic Typesetting" w:hAnsi="Arabic Typesetting" w:cs="Arabic Typesetting"/>
          <w:sz w:val="36"/>
          <w:szCs w:val="36"/>
          <w:lang w:bidi="ar-SY"/>
        </w:rPr>
        <w:t xml:space="preserve">on and communication technology and punish the perpetrators. </w:t>
      </w:r>
    </w:p>
    <w:p w:rsidR="00817570" w:rsidRDefault="00A43050" w:rsidP="00222421">
      <w:pPr>
        <w:pStyle w:val="a6"/>
        <w:numPr>
          <w:ilvl w:val="0"/>
          <w:numId w:val="6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>
        <w:rPr>
          <w:rFonts w:ascii="Arabic Typesetting" w:hAnsi="Arabic Typesetting" w:cs="Arabic Typesetting"/>
          <w:sz w:val="36"/>
          <w:szCs w:val="36"/>
          <w:lang w:bidi="ar-SY"/>
        </w:rPr>
        <w:t xml:space="preserve">Take necessary measures to put an end to 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the spread of </w:t>
      </w:r>
      <w:r w:rsidR="00D60852" w:rsidRPr="00817570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racist hate speech</w:t>
      </w:r>
      <w:r w:rsidR="00D60852"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 in a way that ensures criminalizing and punishing </w:t>
      </w:r>
      <w:r w:rsidR="00817570" w:rsidRPr="00817570">
        <w:rPr>
          <w:rFonts w:ascii="Arabic Typesetting" w:hAnsi="Arabic Typesetting" w:cs="Arabic Typesetting"/>
          <w:sz w:val="36"/>
          <w:szCs w:val="36"/>
          <w:lang w:bidi="ar-SY"/>
        </w:rPr>
        <w:t>racially motivated acts through clear legislative provisions.</w:t>
      </w:r>
      <w:bookmarkStart w:id="0" w:name="_GoBack"/>
      <w:bookmarkEnd w:id="0"/>
    </w:p>
    <w:p w:rsidR="00C07FA0" w:rsidRPr="00817570" w:rsidRDefault="00D60852" w:rsidP="00817570">
      <w:pPr>
        <w:pStyle w:val="a6"/>
        <w:numPr>
          <w:ilvl w:val="0"/>
          <w:numId w:val="6"/>
        </w:numPr>
        <w:bidi w:val="0"/>
        <w:spacing w:after="0" w:line="360" w:lineRule="auto"/>
        <w:jc w:val="both"/>
        <w:rPr>
          <w:rFonts w:ascii="Arabic Typesetting" w:hAnsi="Arabic Typesetting" w:cs="Arabic Typesetting"/>
          <w:sz w:val="36"/>
          <w:szCs w:val="36"/>
          <w:lang w:bidi="ar-SY"/>
        </w:rPr>
      </w:pPr>
      <w:r w:rsidRPr="00817570">
        <w:rPr>
          <w:rFonts w:ascii="Arabic Typesetting" w:hAnsi="Arabic Typesetting" w:cs="Arabic Typesetting"/>
          <w:sz w:val="36"/>
          <w:szCs w:val="36"/>
          <w:rtl/>
          <w:lang w:bidi="ar-SY"/>
        </w:rPr>
        <w:t xml:space="preserve"> </w:t>
      </w: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Stop </w:t>
      </w:r>
      <w:r w:rsidRPr="00817570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the policy</w:t>
      </w: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 of imposing and implementing </w:t>
      </w:r>
      <w:r w:rsidR="00817570" w:rsidRPr="00222421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 xml:space="preserve">unilateral </w:t>
      </w:r>
      <w:r w:rsidRPr="00222421">
        <w:rPr>
          <w:rFonts w:ascii="Arabic Typesetting" w:hAnsi="Arabic Typesetting" w:cs="Arabic Typesetting"/>
          <w:sz w:val="36"/>
          <w:szCs w:val="36"/>
          <w:u w:val="single"/>
          <w:lang w:bidi="ar-SY"/>
        </w:rPr>
        <w:t>coercive measures</w:t>
      </w: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 that threaten</w:t>
      </w:r>
      <w:r w:rsidR="00817570">
        <w:rPr>
          <w:rFonts w:ascii="Arabic Typesetting" w:hAnsi="Arabic Typesetting" w:cs="Arabic Typesetting"/>
          <w:sz w:val="36"/>
          <w:szCs w:val="36"/>
          <w:lang w:bidi="ar-SY"/>
        </w:rPr>
        <w:t>s</w:t>
      </w:r>
      <w:r w:rsidRPr="00817570">
        <w:rPr>
          <w:rFonts w:ascii="Arabic Typesetting" w:hAnsi="Arabic Typesetting" w:cs="Arabic Typesetting"/>
          <w:sz w:val="36"/>
          <w:szCs w:val="36"/>
          <w:lang w:bidi="ar-SY"/>
        </w:rPr>
        <w:t xml:space="preserve"> the right to life of peoples of other countries</w:t>
      </w:r>
      <w:r w:rsidRPr="00817570">
        <w:rPr>
          <w:rFonts w:ascii="Arabic Typesetting" w:hAnsi="Arabic Typesetting" w:cs="Arabic Typesetting"/>
          <w:sz w:val="36"/>
          <w:szCs w:val="36"/>
          <w:rtl/>
          <w:lang w:bidi="ar-SY"/>
        </w:rPr>
        <w:t>.</w:t>
      </w:r>
    </w:p>
    <w:p w:rsidR="00C07FA0" w:rsidRPr="00C07FA0" w:rsidRDefault="00C07FA0" w:rsidP="00222421">
      <w:pPr>
        <w:bidi w:val="0"/>
        <w:spacing w:after="0" w:line="360" w:lineRule="auto"/>
        <w:rPr>
          <w:rFonts w:ascii="Sakkal Majalla" w:hAnsi="Sakkal Majalla" w:cs="Sakkal Majalla"/>
          <w:sz w:val="28"/>
          <w:szCs w:val="28"/>
          <w:lang w:bidi="ar-SY"/>
        </w:rPr>
      </w:pPr>
    </w:p>
    <w:p w:rsidR="00A72C99" w:rsidRDefault="00A72C99" w:rsidP="00A72C99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bidi="ar-SY"/>
        </w:rPr>
      </w:pPr>
    </w:p>
    <w:sectPr w:rsidR="00A72C99" w:rsidSect="00D60852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E2" w:rsidRDefault="002B3AE2">
      <w:pPr>
        <w:spacing w:line="240" w:lineRule="auto"/>
      </w:pPr>
      <w:r>
        <w:separator/>
      </w:r>
    </w:p>
  </w:endnote>
  <w:endnote w:type="continuationSeparator" w:id="0">
    <w:p w:rsidR="002B3AE2" w:rsidRDefault="002B3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E2" w:rsidRDefault="002B3AE2">
      <w:pPr>
        <w:spacing w:after="0"/>
      </w:pPr>
      <w:r>
        <w:separator/>
      </w:r>
    </w:p>
  </w:footnote>
  <w:footnote w:type="continuationSeparator" w:id="0">
    <w:p w:rsidR="002B3AE2" w:rsidRDefault="002B3A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202"/>
    <w:multiLevelType w:val="hybridMultilevel"/>
    <w:tmpl w:val="D27A09CA"/>
    <w:lvl w:ilvl="0" w:tplc="6CAEC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02AC7"/>
    <w:multiLevelType w:val="hybridMultilevel"/>
    <w:tmpl w:val="59C8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1D62"/>
    <w:multiLevelType w:val="hybridMultilevel"/>
    <w:tmpl w:val="65E6B9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00077"/>
    <w:rsid w:val="00001FED"/>
    <w:rsid w:val="00024B4F"/>
    <w:rsid w:val="000267A2"/>
    <w:rsid w:val="000608DD"/>
    <w:rsid w:val="00067A4B"/>
    <w:rsid w:val="000A64B0"/>
    <w:rsid w:val="000B1FBE"/>
    <w:rsid w:val="000B43DA"/>
    <w:rsid w:val="000C1A1D"/>
    <w:rsid w:val="000C4EE7"/>
    <w:rsid w:val="000C7266"/>
    <w:rsid w:val="000E0846"/>
    <w:rsid w:val="000E7346"/>
    <w:rsid w:val="00111041"/>
    <w:rsid w:val="001566FE"/>
    <w:rsid w:val="00165994"/>
    <w:rsid w:val="0017073D"/>
    <w:rsid w:val="00174260"/>
    <w:rsid w:val="00175510"/>
    <w:rsid w:val="00182A26"/>
    <w:rsid w:val="00183DD2"/>
    <w:rsid w:val="001A41AA"/>
    <w:rsid w:val="001B302D"/>
    <w:rsid w:val="001D6EF4"/>
    <w:rsid w:val="001E0310"/>
    <w:rsid w:val="001F6C36"/>
    <w:rsid w:val="002001E6"/>
    <w:rsid w:val="00210185"/>
    <w:rsid w:val="00211E93"/>
    <w:rsid w:val="00216517"/>
    <w:rsid w:val="0022004A"/>
    <w:rsid w:val="00222421"/>
    <w:rsid w:val="002224F3"/>
    <w:rsid w:val="00224DE5"/>
    <w:rsid w:val="00230EE6"/>
    <w:rsid w:val="002347C8"/>
    <w:rsid w:val="002400A3"/>
    <w:rsid w:val="00251511"/>
    <w:rsid w:val="002570DB"/>
    <w:rsid w:val="002866B9"/>
    <w:rsid w:val="00294FEF"/>
    <w:rsid w:val="002B0EC2"/>
    <w:rsid w:val="002B3AE2"/>
    <w:rsid w:val="002E02ED"/>
    <w:rsid w:val="002F1C18"/>
    <w:rsid w:val="003030B2"/>
    <w:rsid w:val="00305F64"/>
    <w:rsid w:val="003227EE"/>
    <w:rsid w:val="00322968"/>
    <w:rsid w:val="00323478"/>
    <w:rsid w:val="00324D0C"/>
    <w:rsid w:val="00332BFB"/>
    <w:rsid w:val="003467B4"/>
    <w:rsid w:val="00346F56"/>
    <w:rsid w:val="00352CB9"/>
    <w:rsid w:val="00362DFC"/>
    <w:rsid w:val="00380F0C"/>
    <w:rsid w:val="003A400E"/>
    <w:rsid w:val="003D5DCC"/>
    <w:rsid w:val="003E4C8C"/>
    <w:rsid w:val="003E723F"/>
    <w:rsid w:val="003F0933"/>
    <w:rsid w:val="003F5D0E"/>
    <w:rsid w:val="003F6A99"/>
    <w:rsid w:val="00400892"/>
    <w:rsid w:val="004335C1"/>
    <w:rsid w:val="00441939"/>
    <w:rsid w:val="00444F43"/>
    <w:rsid w:val="00445ACE"/>
    <w:rsid w:val="00447C35"/>
    <w:rsid w:val="00462863"/>
    <w:rsid w:val="00486C48"/>
    <w:rsid w:val="004A0FAB"/>
    <w:rsid w:val="004D53BF"/>
    <w:rsid w:val="004F31F1"/>
    <w:rsid w:val="00515937"/>
    <w:rsid w:val="00535F24"/>
    <w:rsid w:val="0054103C"/>
    <w:rsid w:val="00546930"/>
    <w:rsid w:val="005633BB"/>
    <w:rsid w:val="00591FEC"/>
    <w:rsid w:val="005D269E"/>
    <w:rsid w:val="005D68B9"/>
    <w:rsid w:val="005E24E4"/>
    <w:rsid w:val="005F1782"/>
    <w:rsid w:val="00615E19"/>
    <w:rsid w:val="00630275"/>
    <w:rsid w:val="00642CD0"/>
    <w:rsid w:val="00646EBB"/>
    <w:rsid w:val="00647F57"/>
    <w:rsid w:val="00650222"/>
    <w:rsid w:val="00674C8F"/>
    <w:rsid w:val="00681FF1"/>
    <w:rsid w:val="00685175"/>
    <w:rsid w:val="006909CD"/>
    <w:rsid w:val="00695841"/>
    <w:rsid w:val="006A04C8"/>
    <w:rsid w:val="006A423B"/>
    <w:rsid w:val="006B1ACF"/>
    <w:rsid w:val="006B3E57"/>
    <w:rsid w:val="006B3EC9"/>
    <w:rsid w:val="006B54BC"/>
    <w:rsid w:val="006B75E0"/>
    <w:rsid w:val="006F3B11"/>
    <w:rsid w:val="0070225A"/>
    <w:rsid w:val="00711F0E"/>
    <w:rsid w:val="00713ACE"/>
    <w:rsid w:val="0074612A"/>
    <w:rsid w:val="007466E6"/>
    <w:rsid w:val="007504F7"/>
    <w:rsid w:val="00757B85"/>
    <w:rsid w:val="00763FA2"/>
    <w:rsid w:val="00786250"/>
    <w:rsid w:val="00786A63"/>
    <w:rsid w:val="007878F3"/>
    <w:rsid w:val="00793C40"/>
    <w:rsid w:val="007B3AE7"/>
    <w:rsid w:val="007C1C90"/>
    <w:rsid w:val="007C1EB5"/>
    <w:rsid w:val="007C4A2F"/>
    <w:rsid w:val="007D0FAC"/>
    <w:rsid w:val="007D2EA6"/>
    <w:rsid w:val="007E2C13"/>
    <w:rsid w:val="008024FA"/>
    <w:rsid w:val="00804114"/>
    <w:rsid w:val="00807657"/>
    <w:rsid w:val="00817570"/>
    <w:rsid w:val="00846404"/>
    <w:rsid w:val="00871D5C"/>
    <w:rsid w:val="00876AB8"/>
    <w:rsid w:val="0088177A"/>
    <w:rsid w:val="00881B52"/>
    <w:rsid w:val="008A1CFF"/>
    <w:rsid w:val="008B32A5"/>
    <w:rsid w:val="008C45D5"/>
    <w:rsid w:val="008E071D"/>
    <w:rsid w:val="008E561B"/>
    <w:rsid w:val="00900D19"/>
    <w:rsid w:val="009054EC"/>
    <w:rsid w:val="00920113"/>
    <w:rsid w:val="00952F19"/>
    <w:rsid w:val="00967B99"/>
    <w:rsid w:val="009A1000"/>
    <w:rsid w:val="009A16B8"/>
    <w:rsid w:val="009B7EBF"/>
    <w:rsid w:val="009D579C"/>
    <w:rsid w:val="009F5C5F"/>
    <w:rsid w:val="00A06101"/>
    <w:rsid w:val="00A2527F"/>
    <w:rsid w:val="00A4126E"/>
    <w:rsid w:val="00A43050"/>
    <w:rsid w:val="00A465C1"/>
    <w:rsid w:val="00A72C99"/>
    <w:rsid w:val="00A7353B"/>
    <w:rsid w:val="00A86F45"/>
    <w:rsid w:val="00A93E09"/>
    <w:rsid w:val="00A97719"/>
    <w:rsid w:val="00AA4DEE"/>
    <w:rsid w:val="00AA7132"/>
    <w:rsid w:val="00AE113A"/>
    <w:rsid w:val="00AF0FD2"/>
    <w:rsid w:val="00AF334D"/>
    <w:rsid w:val="00B0438F"/>
    <w:rsid w:val="00B179C6"/>
    <w:rsid w:val="00B3295B"/>
    <w:rsid w:val="00B35A6B"/>
    <w:rsid w:val="00B366CC"/>
    <w:rsid w:val="00B4749F"/>
    <w:rsid w:val="00B52F54"/>
    <w:rsid w:val="00B801A7"/>
    <w:rsid w:val="00BC067C"/>
    <w:rsid w:val="00BC2DF9"/>
    <w:rsid w:val="00BC6D9F"/>
    <w:rsid w:val="00BD0765"/>
    <w:rsid w:val="00BD1669"/>
    <w:rsid w:val="00BE23DC"/>
    <w:rsid w:val="00BE4740"/>
    <w:rsid w:val="00BF33B3"/>
    <w:rsid w:val="00BF4508"/>
    <w:rsid w:val="00BF7DF0"/>
    <w:rsid w:val="00C01423"/>
    <w:rsid w:val="00C0548A"/>
    <w:rsid w:val="00C07FA0"/>
    <w:rsid w:val="00C52FBA"/>
    <w:rsid w:val="00C534BC"/>
    <w:rsid w:val="00C56E53"/>
    <w:rsid w:val="00C6636A"/>
    <w:rsid w:val="00C66598"/>
    <w:rsid w:val="00C9146C"/>
    <w:rsid w:val="00C93107"/>
    <w:rsid w:val="00C97525"/>
    <w:rsid w:val="00CA5A7B"/>
    <w:rsid w:val="00CB78BD"/>
    <w:rsid w:val="00CC60E9"/>
    <w:rsid w:val="00D14A0A"/>
    <w:rsid w:val="00D32AC1"/>
    <w:rsid w:val="00D43E66"/>
    <w:rsid w:val="00D4440E"/>
    <w:rsid w:val="00D4658F"/>
    <w:rsid w:val="00D51B6E"/>
    <w:rsid w:val="00D56301"/>
    <w:rsid w:val="00D60852"/>
    <w:rsid w:val="00D616CA"/>
    <w:rsid w:val="00D74B47"/>
    <w:rsid w:val="00D908E7"/>
    <w:rsid w:val="00D97ACD"/>
    <w:rsid w:val="00DA6E3B"/>
    <w:rsid w:val="00DB7F99"/>
    <w:rsid w:val="00DF1791"/>
    <w:rsid w:val="00DF3072"/>
    <w:rsid w:val="00DF5092"/>
    <w:rsid w:val="00DF69A8"/>
    <w:rsid w:val="00E167F1"/>
    <w:rsid w:val="00E1737D"/>
    <w:rsid w:val="00E4051F"/>
    <w:rsid w:val="00E518AB"/>
    <w:rsid w:val="00E5588F"/>
    <w:rsid w:val="00E85B53"/>
    <w:rsid w:val="00EB3F08"/>
    <w:rsid w:val="00EB74B8"/>
    <w:rsid w:val="00ED022E"/>
    <w:rsid w:val="00F04684"/>
    <w:rsid w:val="00F1671E"/>
    <w:rsid w:val="00F315FB"/>
    <w:rsid w:val="00F36FD7"/>
    <w:rsid w:val="00F43E3D"/>
    <w:rsid w:val="00F469C6"/>
    <w:rsid w:val="00F469E6"/>
    <w:rsid w:val="00F55C8F"/>
    <w:rsid w:val="00F73F14"/>
    <w:rsid w:val="00F85395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>
    <w:name w:val="endnote reference"/>
    <w:unhideWhenUsed/>
    <w:qFormat/>
    <w:rPr>
      <w:rFonts w:eastAsia="MS Mincho"/>
      <w:sz w:val="18"/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نص في بالون Char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نص تعليق ختامي Char"/>
    <w:basedOn w:val="a0"/>
    <w:link w:val="a5"/>
    <w:uiPriority w:val="99"/>
    <w:semiHidden/>
    <w:qFormat/>
    <w:rPr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9F0D0815-0F23-4149-B14A-2630F99078CF}"/>
</file>

<file path=customXml/itemProps3.xml><?xml version="1.0" encoding="utf-8"?>
<ds:datastoreItem xmlns:ds="http://schemas.openxmlformats.org/officeDocument/2006/customXml" ds:itemID="{5DDAA702-F8E2-45D2-AE31-8E402CBF7EB5}"/>
</file>

<file path=customXml/itemProps4.xml><?xml version="1.0" encoding="utf-8"?>
<ds:datastoreItem xmlns:ds="http://schemas.openxmlformats.org/officeDocument/2006/customXml" ds:itemID="{30F683E6-35E8-42B3-9796-CD0FC5B45B82}"/>
</file>

<file path=customXml/itemProps5.xml><?xml version="1.0" encoding="utf-8"?>
<ds:datastoreItem xmlns:ds="http://schemas.openxmlformats.org/officeDocument/2006/customXml" ds:itemID="{66911CAB-BA84-4C76-8946-5DB7D6FFA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AL-Laith</cp:lastModifiedBy>
  <cp:revision>22</cp:revision>
  <cp:lastPrinted>2022-11-08T15:09:00Z</cp:lastPrinted>
  <dcterms:created xsi:type="dcterms:W3CDTF">2023-05-08T12:44:00Z</dcterms:created>
  <dcterms:modified xsi:type="dcterms:W3CDTF">2023-05-09T08:58:00Z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