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7441" w14:textId="77777777"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7249D90" wp14:editId="02BD817F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2D809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E6B1EC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14:paraId="5044B713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14:paraId="773035FB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14:paraId="0F93D579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14:paraId="35713D07" w14:textId="77777777"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1D92FE" wp14:editId="789CFA68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393F5A59" wp14:editId="4E79D7D5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14:paraId="752DB3CF" w14:textId="77777777"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14:paraId="7557F000" w14:textId="77777777"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14:paraId="02C91862" w14:textId="77777777" w:rsidR="00F607F4" w:rsidRPr="00DB6EEB" w:rsidRDefault="00F607F4" w:rsidP="00F607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 w:rsidRPr="00DB6EEB"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  <w:t>بيان السفير حيدر علي أحمد</w:t>
      </w:r>
    </w:p>
    <w:p w14:paraId="77B92018" w14:textId="77777777" w:rsidR="00F607F4" w:rsidRPr="00DB6EEB" w:rsidRDefault="00F607F4" w:rsidP="00F607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 w:rsidRPr="00DB6EEB"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  <w:t xml:space="preserve">المندوب الدائم للجمهورية العربية السورية لدى مكتب الأمم المتحدة والمنظمات الدولية الأخرى في جنيف </w:t>
      </w:r>
    </w:p>
    <w:p w14:paraId="0746DC51" w14:textId="00E3B3D3" w:rsidR="008A1CFF" w:rsidRDefault="00F607F4" w:rsidP="00F607F4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>المراجعة الدورية الشاملة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>
        <w:rPr>
          <w:rFonts w:ascii="Sitka Small" w:hAnsi="Sitka Small" w:cs="Sakkal Majalla"/>
          <w:b/>
          <w:bCs/>
          <w:sz w:val="32"/>
          <w:szCs w:val="32"/>
        </w:rPr>
        <w:t>43</w:t>
      </w:r>
    </w:p>
    <w:p w14:paraId="447EB2B8" w14:textId="77777777" w:rsidR="008A1CFF" w:rsidRDefault="008A1CFF" w:rsidP="00B532F0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</w:t>
      </w:r>
      <w:r w:rsidR="00B532F0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الدورية الشاملة </w:t>
      </w:r>
      <w:r w:rsidR="00E31890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B532F0">
        <w:rPr>
          <w:rFonts w:ascii="Sitka Small" w:hAnsi="Sitka Small" w:cs="Sakkal Majalla" w:hint="cs"/>
          <w:b/>
          <w:bCs/>
          <w:sz w:val="32"/>
          <w:szCs w:val="32"/>
          <w:rtl/>
        </w:rPr>
        <w:t>دولة ا</w:t>
      </w:r>
      <w:r w:rsidR="00E31890">
        <w:rPr>
          <w:rFonts w:ascii="Sitka Small" w:hAnsi="Sitka Small" w:cs="Sakkal Majalla" w:hint="cs"/>
          <w:b/>
          <w:bCs/>
          <w:sz w:val="32"/>
          <w:szCs w:val="32"/>
          <w:rtl/>
        </w:rPr>
        <w:t>لإمارات العربية المتحدة</w:t>
      </w:r>
    </w:p>
    <w:p w14:paraId="64D8A8DE" w14:textId="77777777" w:rsidR="00F607F4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  <w:lang w:val="fr-CH" w:bidi="ar-SY"/>
        </w:rPr>
      </w:pPr>
    </w:p>
    <w:p w14:paraId="3E22B1DE" w14:textId="77777777" w:rsidR="00F607F4" w:rsidRPr="000D5463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val="fr-CH" w:bidi="ar-SY"/>
        </w:rPr>
      </w:pPr>
    </w:p>
    <w:p w14:paraId="66D3468E" w14:textId="77777777" w:rsidR="00F607F4" w:rsidRPr="000D5463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bidi="ar-SY"/>
        </w:rPr>
      </w:pPr>
      <w:r w:rsidRPr="000D5463">
        <w:rPr>
          <w:rFonts w:asciiTheme="majorBidi" w:eastAsia="Calibri" w:hAnsiTheme="majorBidi" w:cstheme="majorBidi"/>
          <w:b/>
          <w:bCs/>
          <w:sz w:val="28"/>
          <w:szCs w:val="28"/>
          <w:lang w:bidi="ar-SY"/>
        </w:rPr>
        <w:t>Statement by H. E. Ambassador Haydar Ali Ahmad</w:t>
      </w:r>
    </w:p>
    <w:p w14:paraId="5246A3BB" w14:textId="77777777" w:rsidR="00F607F4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</w:pPr>
      <w:r w:rsidRPr="000D5463">
        <w:rPr>
          <w:rFonts w:asciiTheme="majorBidi" w:eastAsia="Calibri" w:hAnsiTheme="majorBidi" w:cstheme="majorBidi"/>
          <w:b/>
          <w:bCs/>
          <w:sz w:val="28"/>
          <w:szCs w:val="28"/>
          <w:lang w:bidi="ar-SY"/>
        </w:rPr>
        <w:t>A</w:t>
      </w:r>
      <w:r w:rsidRPr="000D5463"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  <w:t>mbassador Permanent Representative of the Syrian Arab Republic to the United Nations Office and other International Organizations in Geneva</w:t>
      </w:r>
    </w:p>
    <w:p w14:paraId="7B041738" w14:textId="77777777" w:rsidR="00F607F4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  <w:t>UPR – 43</w:t>
      </w:r>
      <w:r w:rsidRPr="00DB6EEB">
        <w:rPr>
          <w:rFonts w:asciiTheme="majorBidi" w:eastAsia="Calibri" w:hAnsiTheme="majorBidi" w:cstheme="majorBidi"/>
          <w:b/>
          <w:bCs/>
          <w:sz w:val="28"/>
          <w:szCs w:val="28"/>
          <w:vertAlign w:val="superscript"/>
          <w:lang w:val="en-GB" w:bidi="ar-SY"/>
        </w:rPr>
        <w:t>rd</w:t>
      </w:r>
      <w:r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  <w:t xml:space="preserve"> Session</w:t>
      </w:r>
    </w:p>
    <w:p w14:paraId="6B2EC2AC" w14:textId="540E61D2" w:rsidR="00F607F4" w:rsidRPr="00F607F4" w:rsidRDefault="00F607F4" w:rsidP="00F607F4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val="en-GB" w:bidi="ar-SY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val="en-GB" w:bidi="ar-SY"/>
        </w:rPr>
        <w:t>1-12 May 2023</w:t>
      </w:r>
    </w:p>
    <w:p w14:paraId="4B9B0586" w14:textId="77777777" w:rsidR="00D51B6E" w:rsidRPr="00E31890" w:rsidRDefault="008A1CFF" w:rsidP="00E31890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E31890">
        <w:rPr>
          <w:rFonts w:ascii="Sitka Small" w:hAnsi="Sitka Small" w:cs="Sakkal Majalla"/>
          <w:b/>
          <w:bCs/>
        </w:rPr>
        <w:t>the United Arab Emirates</w:t>
      </w:r>
    </w:p>
    <w:p w14:paraId="152FC6DD" w14:textId="77777777"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rtl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14:paraId="64ECD650" w14:textId="77777777"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14:paraId="6CE6A695" w14:textId="7D9BB4FB" w:rsidR="007504F7" w:rsidRPr="00CF210F" w:rsidRDefault="00646EBB" w:rsidP="008C28DB">
      <w:pPr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SY"/>
        </w:rPr>
      </w:pPr>
      <w:r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lastRenderedPageBreak/>
        <w:t>شــــــــــــكراً،</w:t>
      </w:r>
    </w:p>
    <w:p w14:paraId="67919511" w14:textId="075F8349" w:rsidR="00897DDC" w:rsidRPr="00CF210F" w:rsidRDefault="006A423B" w:rsidP="008C28DB">
      <w:pPr>
        <w:spacing w:after="0" w:line="360" w:lineRule="auto"/>
        <w:jc w:val="lowKashida"/>
        <w:rPr>
          <w:rFonts w:ascii="Arabic Typesetting" w:hAnsi="Arabic Typesetting" w:cs="Arabic Typesetting"/>
          <w:sz w:val="36"/>
          <w:szCs w:val="36"/>
          <w:rtl/>
          <w:lang w:val="fr-CH" w:bidi="ar-SY"/>
        </w:rPr>
      </w:pPr>
      <w:r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نرحب بوفد 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>دول</w:t>
      </w:r>
      <w:r w:rsidR="00467F1D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ة 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الإمارات العربية المتحدة </w:t>
      </w:r>
      <w:r w:rsidR="00B532F0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 الشقيقة </w:t>
      </w:r>
      <w:r w:rsidR="00570F38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الموقر 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>برئاسة السيد</w:t>
      </w:r>
      <w:r w:rsidR="009B0D0A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ة شما سهيل </w:t>
      </w:r>
      <w:r w:rsidR="00467F1D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فارس غانم </w:t>
      </w:r>
      <w:r w:rsidR="009B0D0A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المزروعي، وزيرة تنمية المجتمع، </w:t>
      </w:r>
      <w:r w:rsidR="008C28DB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>ونشكر</w:t>
      </w:r>
      <w:r w:rsidR="008C28DB"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 xml:space="preserve"> الوفد 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على العرض القيم </w:t>
      </w:r>
      <w:r w:rsidR="008429E8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حول أبرز</w:t>
      </w:r>
      <w:r w:rsidR="007F446B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="008429E8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الإنجازات </w:t>
      </w:r>
      <w:r w:rsidR="007F446B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التي تعكس إرادة سياسية قوية في 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مواصلة مسيرة </w:t>
      </w:r>
      <w:r w:rsidR="007F446B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حماية وتعزيز حقوق الإنسان على الصعيد الوطني</w:t>
      </w:r>
      <w:r w:rsidR="00B220B8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. لا تنفصل 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هذه الجهود عن سرعة استجابة الإمارات </w:t>
      </w:r>
      <w:r w:rsidR="00B220B8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في مد يد العون ل</w:t>
      </w:r>
      <w:r w:rsidR="00AD550E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شعوب العالم في مواجهة تداعيات الطوارئ الصحية والكوارث الطبيعية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="00B220B8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لتُقدم 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نموذجاً مضيئاً لروح </w:t>
      </w:r>
      <w:r w:rsidR="008C28DB">
        <w:rPr>
          <w:rFonts w:ascii="Arabic Typesetting" w:hAnsi="Arabic Typesetting" w:cs="Arabic Typesetting"/>
          <w:sz w:val="36"/>
          <w:szCs w:val="36"/>
          <w:rtl/>
          <w:lang w:bidi="ar-SY"/>
        </w:rPr>
        <w:t>التضامن الإنساني. و</w:t>
      </w:r>
      <w:r w:rsidR="008C28DB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نُشيد </w:t>
      </w:r>
      <w:r w:rsidR="00B532F0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بدور</w:t>
      </w:r>
      <w:r w:rsidR="008C28DB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ها </w:t>
      </w:r>
      <w:r w:rsidR="00B532F0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الريادي على الم</w:t>
      </w:r>
      <w:r w:rsidR="00CF210F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 xml:space="preserve">ستوى </w:t>
      </w:r>
      <w:r w:rsidR="00B532F0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الإقليمي </w:t>
      </w:r>
      <w:r w:rsidR="007F446B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في </w:t>
      </w:r>
      <w:r w:rsidR="00B532F0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مجال مواجهة </w:t>
      </w:r>
      <w:r w:rsidR="007F446B" w:rsidRPr="00CF210F">
        <w:rPr>
          <w:rFonts w:ascii="Arabic Typesetting" w:hAnsi="Arabic Typesetting" w:cs="Arabic Typesetting"/>
          <w:sz w:val="36"/>
          <w:szCs w:val="36"/>
          <w:rtl/>
          <w:lang w:bidi="ar-SY"/>
        </w:rPr>
        <w:t>التغير المناخي و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>نوصي:</w:t>
      </w:r>
      <w:bookmarkStart w:id="0" w:name="_GoBack"/>
      <w:bookmarkEnd w:id="0"/>
    </w:p>
    <w:p w14:paraId="57109F97" w14:textId="77777777" w:rsidR="00897DDC" w:rsidRPr="00467F1D" w:rsidRDefault="008429E8" w:rsidP="00B532F0">
      <w:pPr>
        <w:spacing w:after="0" w:line="360" w:lineRule="auto"/>
        <w:jc w:val="lowKashida"/>
        <w:rPr>
          <w:rFonts w:ascii="Arabic Typesetting" w:hAnsi="Arabic Typesetting" w:cs="Arabic Typesetting"/>
          <w:sz w:val="36"/>
          <w:szCs w:val="36"/>
          <w:u w:val="single"/>
          <w:rtl/>
          <w:lang w:val="fr-CH" w:bidi="ar-SY"/>
        </w:rPr>
      </w:pPr>
      <w:r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1. 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مواصلة الجهود الوطنية نحو </w:t>
      </w:r>
      <w:r w:rsidR="00897DDC" w:rsidRPr="00467F1D">
        <w:rPr>
          <w:rFonts w:ascii="Arabic Typesetting" w:hAnsi="Arabic Typesetting" w:cs="Arabic Typesetting"/>
          <w:sz w:val="36"/>
          <w:szCs w:val="36"/>
          <w:u w:val="single"/>
          <w:rtl/>
          <w:lang w:val="fr-CH" w:bidi="ar-SY"/>
        </w:rPr>
        <w:t xml:space="preserve">تعزيز تنفيذ أهداف التنمية المستدامــة 2030 لا سيما الهدف 13 المعني بالعمل المناخـي. </w:t>
      </w:r>
    </w:p>
    <w:p w14:paraId="33C74BB5" w14:textId="77777777" w:rsidR="00897DDC" w:rsidRPr="00467F1D" w:rsidRDefault="008429E8" w:rsidP="00E06BCF">
      <w:pPr>
        <w:spacing w:after="0" w:line="360" w:lineRule="auto"/>
        <w:jc w:val="lowKashida"/>
        <w:rPr>
          <w:rFonts w:ascii="Arabic Typesetting" w:hAnsi="Arabic Typesetting" w:cs="Arabic Typesetting"/>
          <w:sz w:val="36"/>
          <w:szCs w:val="36"/>
          <w:u w:val="single"/>
          <w:lang w:val="fr-CH" w:bidi="ar-SY"/>
        </w:rPr>
      </w:pPr>
      <w:r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2. </w:t>
      </w:r>
      <w:r w:rsidR="00897DDC" w:rsidRPr="00CF210F">
        <w:rPr>
          <w:rFonts w:ascii="Arabic Typesetting" w:hAnsi="Arabic Typesetting" w:cs="Arabic Typesetting"/>
          <w:sz w:val="36"/>
          <w:szCs w:val="36"/>
          <w:rtl/>
          <w:lang w:val="fr-CH" w:bidi="ar-SY"/>
        </w:rPr>
        <w:t xml:space="preserve">مواصلة الجهود الرامية </w:t>
      </w:r>
      <w:r w:rsidR="00897DDC" w:rsidRPr="00467F1D">
        <w:rPr>
          <w:rFonts w:ascii="Arabic Typesetting" w:hAnsi="Arabic Typesetting" w:cs="Arabic Typesetting"/>
          <w:sz w:val="36"/>
          <w:szCs w:val="36"/>
          <w:u w:val="single"/>
          <w:rtl/>
          <w:lang w:val="fr-CH" w:bidi="ar-SY"/>
        </w:rPr>
        <w:t xml:space="preserve">لضمان الحد من الانبعاثات الكربونية، وذلك من خلال تنفيذ المبادرة الاستراتيجية للحياد المناخي 2050. </w:t>
      </w:r>
    </w:p>
    <w:p w14:paraId="7FB02F26" w14:textId="77777777" w:rsidR="00597B73" w:rsidRDefault="00B220B8" w:rsidP="00597B73">
      <w:pPr>
        <w:spacing w:after="0" w:line="360" w:lineRule="auto"/>
        <w:jc w:val="lowKashida"/>
        <w:rPr>
          <w:rFonts w:ascii="Arabic Typesetting" w:hAnsi="Arabic Typesetting" w:cs="Arabic Typesetting"/>
          <w:sz w:val="36"/>
          <w:szCs w:val="36"/>
          <w:rtl/>
          <w:lang w:val="fr-CH" w:bidi="ar-EG"/>
        </w:rPr>
      </w:pPr>
      <w:r w:rsidRPr="00CF210F">
        <w:rPr>
          <w:rFonts w:ascii="Arabic Typesetting" w:hAnsi="Arabic Typesetting" w:cs="Arabic Typesetting"/>
          <w:sz w:val="36"/>
          <w:szCs w:val="36"/>
          <w:rtl/>
          <w:lang w:val="fr-CH" w:bidi="ar-EG"/>
        </w:rPr>
        <w:t xml:space="preserve">ختاماً </w:t>
      </w:r>
      <w:r w:rsidR="00597B73" w:rsidRPr="00CF210F">
        <w:rPr>
          <w:rFonts w:ascii="Arabic Typesetting" w:hAnsi="Arabic Typesetting" w:cs="Arabic Typesetting"/>
          <w:sz w:val="36"/>
          <w:szCs w:val="36"/>
          <w:rtl/>
          <w:lang w:val="fr-CH" w:bidi="ar-EG"/>
        </w:rPr>
        <w:t>نتمنى للإمارات العربية المتحدة دوام التقدم والنجاح في مسيرة حماية وتعزيز حقوق الإنسان.</w:t>
      </w:r>
    </w:p>
    <w:p w14:paraId="250DC130" w14:textId="77777777" w:rsidR="00570F38" w:rsidRPr="00570F38" w:rsidRDefault="00570F38" w:rsidP="00570F38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>Thank you, Mr. President</w:t>
      </w:r>
      <w:r w:rsidRPr="00570F38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14:paraId="1BB915FF" w14:textId="77777777" w:rsidR="00570F38" w:rsidRPr="00570F38" w:rsidRDefault="00570F38" w:rsidP="00467F1D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We welcome the distinguished delegation of the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brotherly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State of the United Arab Emirates, headed by Ms. Shamma </w:t>
      </w:r>
      <w:r w:rsidR="00467F1D" w:rsidRPr="00467F1D">
        <w:rPr>
          <w:rFonts w:ascii="Arabic Typesetting" w:hAnsi="Arabic Typesetting" w:cs="Arabic Typesetting"/>
          <w:sz w:val="36"/>
          <w:szCs w:val="36"/>
          <w:lang w:bidi="ar-SY"/>
        </w:rPr>
        <w:t>S</w:t>
      </w:r>
      <w:r w:rsidR="00467F1D">
        <w:rPr>
          <w:rFonts w:ascii="Arabic Typesetting" w:hAnsi="Arabic Typesetting" w:cs="Arabic Typesetting"/>
          <w:sz w:val="36"/>
          <w:szCs w:val="36"/>
          <w:lang w:bidi="ar-SY"/>
        </w:rPr>
        <w:t xml:space="preserve">ohail Faris Ghanem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Al </w:t>
      </w:r>
      <w:r w:rsidR="00467F1D" w:rsidRPr="00570F38">
        <w:rPr>
          <w:rFonts w:ascii="Arabic Typesetting" w:hAnsi="Arabic Typesetting" w:cs="Arabic Typesetting"/>
          <w:sz w:val="36"/>
          <w:szCs w:val="36"/>
          <w:lang w:bidi="ar-SY"/>
        </w:rPr>
        <w:t>M</w:t>
      </w:r>
      <w:r w:rsidR="00467F1D">
        <w:rPr>
          <w:rFonts w:ascii="Arabic Typesetting" w:hAnsi="Arabic Typesetting" w:cs="Arabic Typesetting"/>
          <w:sz w:val="36"/>
          <w:szCs w:val="36"/>
          <w:lang w:bidi="ar-SY"/>
        </w:rPr>
        <w:t>AZRU</w:t>
      </w:r>
      <w:r w:rsidR="00467F1D" w:rsidRPr="00570F38">
        <w:rPr>
          <w:rFonts w:ascii="Arabic Typesetting" w:hAnsi="Arabic Typesetting" w:cs="Arabic Typesetting"/>
          <w:sz w:val="36"/>
          <w:szCs w:val="36"/>
          <w:lang w:bidi="ar-SY"/>
        </w:rPr>
        <w:t>I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, Minister of Community Development, and thank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them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for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>presentation on the most important achievements that reflect a strong political will to continue the process of protecting and promoting human rights at the national level. These efforts are inseparable from the speed of the UAE's response in extending a helping hand to the peoples of the world in facing the repercussions of health em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ergencies and natural disasters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to present a shining example of the spirit of human solidarity. We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lastRenderedPageBreak/>
        <w:t>commend the pioneering role of the United Arab Emirates at the regional level in combating climate change, and we recommend</w:t>
      </w:r>
      <w:r w:rsidRPr="00570F38">
        <w:rPr>
          <w:rFonts w:ascii="Arabic Typesetting" w:hAnsi="Arabic Typesetting" w:cs="Arabic Typesetting"/>
          <w:sz w:val="36"/>
          <w:szCs w:val="36"/>
          <w:rtl/>
          <w:lang w:bidi="ar-SY"/>
        </w:rPr>
        <w:t>:</w:t>
      </w:r>
    </w:p>
    <w:p w14:paraId="268D9D06" w14:textId="77777777" w:rsidR="00570F38" w:rsidRPr="00467F1D" w:rsidRDefault="00570F38" w:rsidP="00E06BCF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u w:val="single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1. </w:t>
      </w:r>
      <w:r w:rsidRPr="00570F38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Continue national efforts </w:t>
      </w:r>
      <w:r w:rsidR="00E06BCF">
        <w:rPr>
          <w:rFonts w:ascii="Arabic Typesetting" w:hAnsi="Arabic Typesetting" w:cs="Arabic Typesetting"/>
          <w:sz w:val="36"/>
          <w:szCs w:val="36"/>
          <w:lang w:bidi="ar-SY"/>
        </w:rPr>
        <w:t xml:space="preserve">to strengthen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Pr="00467F1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implementation of the 2030 Sustainable Development Goals, especially Goal 13 on climate action</w:t>
      </w:r>
      <w:r w:rsidRPr="00467F1D">
        <w:rPr>
          <w:rFonts w:ascii="Arabic Typesetting" w:hAnsi="Arabic Typesetting" w:cs="Arabic Typesetting"/>
          <w:sz w:val="36"/>
          <w:szCs w:val="36"/>
          <w:u w:val="single"/>
          <w:rtl/>
          <w:lang w:bidi="ar-SY"/>
        </w:rPr>
        <w:t>.</w:t>
      </w:r>
    </w:p>
    <w:p w14:paraId="21CDAA4D" w14:textId="77777777" w:rsidR="00E06BCF" w:rsidRPr="00E06BCF" w:rsidRDefault="00570F38" w:rsidP="00E06BCF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u w:val="single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2. </w:t>
      </w: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 xml:space="preserve">Continue efforts to </w:t>
      </w:r>
      <w:r w:rsidRPr="00467F1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ensure the reduction of carbon emissions, through the implementation of the </w:t>
      </w:r>
      <w:r w:rsidR="00E06BCF" w:rsidRPr="00467F1D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2050 s</w:t>
      </w:r>
      <w:r w:rsidR="00E06BCF" w:rsidRPr="00E06BCF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trategic initiative to achieve climate neutrality. </w:t>
      </w:r>
    </w:p>
    <w:p w14:paraId="6A0B0B82" w14:textId="77777777" w:rsidR="00570F38" w:rsidRPr="00467F1D" w:rsidRDefault="00570F38" w:rsidP="00E06BCF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570F38">
        <w:rPr>
          <w:rFonts w:ascii="Arabic Typesetting" w:hAnsi="Arabic Typesetting" w:cs="Arabic Typesetting"/>
          <w:sz w:val="36"/>
          <w:szCs w:val="36"/>
          <w:lang w:bidi="ar-SY"/>
        </w:rPr>
        <w:t>In conclusion, we wish the United Arab Emirates continued progress and success in the process of protecting and promoting human rights</w:t>
      </w:r>
      <w:r w:rsidRPr="00570F38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14:paraId="44C57BA1" w14:textId="77777777" w:rsidR="00597B73" w:rsidRPr="00570F38" w:rsidRDefault="00597B73" w:rsidP="00570F38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</w:p>
    <w:sectPr w:rsidR="00597B73" w:rsidRPr="00570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86AB" w14:textId="77777777" w:rsidR="009071AF" w:rsidRDefault="009071AF">
      <w:pPr>
        <w:spacing w:line="240" w:lineRule="auto"/>
      </w:pPr>
      <w:r>
        <w:separator/>
      </w:r>
    </w:p>
  </w:endnote>
  <w:endnote w:type="continuationSeparator" w:id="0">
    <w:p w14:paraId="60BD80D6" w14:textId="77777777" w:rsidR="009071AF" w:rsidRDefault="00907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EFBC" w14:textId="77777777" w:rsidR="009071AF" w:rsidRDefault="009071AF">
      <w:pPr>
        <w:spacing w:after="0"/>
      </w:pPr>
      <w:r>
        <w:separator/>
      </w:r>
    </w:p>
  </w:footnote>
  <w:footnote w:type="continuationSeparator" w:id="0">
    <w:p w14:paraId="5E7E14FA" w14:textId="77777777" w:rsidR="009071AF" w:rsidRDefault="00907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3B3"/>
    <w:multiLevelType w:val="hybridMultilevel"/>
    <w:tmpl w:val="45EE1A48"/>
    <w:lvl w:ilvl="0" w:tplc="7D325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12186"/>
    <w:rsid w:val="00024B4F"/>
    <w:rsid w:val="000267A2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65994"/>
    <w:rsid w:val="00175510"/>
    <w:rsid w:val="00182A26"/>
    <w:rsid w:val="00183DD2"/>
    <w:rsid w:val="001A41AA"/>
    <w:rsid w:val="001B302D"/>
    <w:rsid w:val="001D6EF4"/>
    <w:rsid w:val="001E0310"/>
    <w:rsid w:val="001E12A1"/>
    <w:rsid w:val="001F6C36"/>
    <w:rsid w:val="002001E6"/>
    <w:rsid w:val="00205371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E02ED"/>
    <w:rsid w:val="002F3158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67F1D"/>
    <w:rsid w:val="00486C48"/>
    <w:rsid w:val="004F31F1"/>
    <w:rsid w:val="00515937"/>
    <w:rsid w:val="0054103C"/>
    <w:rsid w:val="00570F38"/>
    <w:rsid w:val="00591FEC"/>
    <w:rsid w:val="00597B73"/>
    <w:rsid w:val="005D68B9"/>
    <w:rsid w:val="005F1782"/>
    <w:rsid w:val="00642CD0"/>
    <w:rsid w:val="00646EBB"/>
    <w:rsid w:val="00647F57"/>
    <w:rsid w:val="00650222"/>
    <w:rsid w:val="00650F1F"/>
    <w:rsid w:val="00674C8F"/>
    <w:rsid w:val="00681FF1"/>
    <w:rsid w:val="00685175"/>
    <w:rsid w:val="006909CD"/>
    <w:rsid w:val="00695841"/>
    <w:rsid w:val="006A04C8"/>
    <w:rsid w:val="006A423B"/>
    <w:rsid w:val="006B1ACF"/>
    <w:rsid w:val="006B3EC9"/>
    <w:rsid w:val="006B54BC"/>
    <w:rsid w:val="006B75E0"/>
    <w:rsid w:val="006F3B11"/>
    <w:rsid w:val="0070225A"/>
    <w:rsid w:val="00715226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B3AE7"/>
    <w:rsid w:val="007C1EB5"/>
    <w:rsid w:val="007D0FAC"/>
    <w:rsid w:val="007D2EA6"/>
    <w:rsid w:val="007F446B"/>
    <w:rsid w:val="00804114"/>
    <w:rsid w:val="008429E8"/>
    <w:rsid w:val="00846404"/>
    <w:rsid w:val="00871D5C"/>
    <w:rsid w:val="00876AB8"/>
    <w:rsid w:val="00881B52"/>
    <w:rsid w:val="00897DDC"/>
    <w:rsid w:val="008A1CFF"/>
    <w:rsid w:val="008B3627"/>
    <w:rsid w:val="008C28DB"/>
    <w:rsid w:val="008C45D5"/>
    <w:rsid w:val="008E071D"/>
    <w:rsid w:val="008E561B"/>
    <w:rsid w:val="008E7F2B"/>
    <w:rsid w:val="009071AF"/>
    <w:rsid w:val="00960835"/>
    <w:rsid w:val="00967B99"/>
    <w:rsid w:val="00990E13"/>
    <w:rsid w:val="009A1000"/>
    <w:rsid w:val="009A16B8"/>
    <w:rsid w:val="009B0D0A"/>
    <w:rsid w:val="009B7EBF"/>
    <w:rsid w:val="009D579C"/>
    <w:rsid w:val="009F5C5F"/>
    <w:rsid w:val="00A2527F"/>
    <w:rsid w:val="00A465C1"/>
    <w:rsid w:val="00A7353B"/>
    <w:rsid w:val="00A93E09"/>
    <w:rsid w:val="00A964BB"/>
    <w:rsid w:val="00A97719"/>
    <w:rsid w:val="00AA7132"/>
    <w:rsid w:val="00AD550E"/>
    <w:rsid w:val="00AE113A"/>
    <w:rsid w:val="00AF0FD2"/>
    <w:rsid w:val="00B179C6"/>
    <w:rsid w:val="00B220B8"/>
    <w:rsid w:val="00B35A6B"/>
    <w:rsid w:val="00B366CC"/>
    <w:rsid w:val="00B4749F"/>
    <w:rsid w:val="00B52F54"/>
    <w:rsid w:val="00B532F0"/>
    <w:rsid w:val="00B801A7"/>
    <w:rsid w:val="00BC067C"/>
    <w:rsid w:val="00BC6D9F"/>
    <w:rsid w:val="00BD1669"/>
    <w:rsid w:val="00BE4740"/>
    <w:rsid w:val="00BF33B3"/>
    <w:rsid w:val="00BF4508"/>
    <w:rsid w:val="00BF7DF0"/>
    <w:rsid w:val="00C01423"/>
    <w:rsid w:val="00C04B8D"/>
    <w:rsid w:val="00C0548A"/>
    <w:rsid w:val="00C52FBA"/>
    <w:rsid w:val="00C534BC"/>
    <w:rsid w:val="00C56E53"/>
    <w:rsid w:val="00C6636A"/>
    <w:rsid w:val="00C66598"/>
    <w:rsid w:val="00C93107"/>
    <w:rsid w:val="00C97525"/>
    <w:rsid w:val="00CA5A7B"/>
    <w:rsid w:val="00CB50E2"/>
    <w:rsid w:val="00CB78BD"/>
    <w:rsid w:val="00CC60E9"/>
    <w:rsid w:val="00CF210F"/>
    <w:rsid w:val="00D14A0A"/>
    <w:rsid w:val="00D32AC1"/>
    <w:rsid w:val="00D43E66"/>
    <w:rsid w:val="00D4658F"/>
    <w:rsid w:val="00D51B6E"/>
    <w:rsid w:val="00D56301"/>
    <w:rsid w:val="00D616CA"/>
    <w:rsid w:val="00D642A5"/>
    <w:rsid w:val="00D6644D"/>
    <w:rsid w:val="00D74B47"/>
    <w:rsid w:val="00D908E7"/>
    <w:rsid w:val="00D97ACD"/>
    <w:rsid w:val="00DA6E3B"/>
    <w:rsid w:val="00DF1791"/>
    <w:rsid w:val="00DF5092"/>
    <w:rsid w:val="00DF69A8"/>
    <w:rsid w:val="00E06BCF"/>
    <w:rsid w:val="00E167F1"/>
    <w:rsid w:val="00E31890"/>
    <w:rsid w:val="00E4051F"/>
    <w:rsid w:val="00E5588F"/>
    <w:rsid w:val="00E7612B"/>
    <w:rsid w:val="00E76681"/>
    <w:rsid w:val="00E85B53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607F4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70CB"/>
  <w15:docId w15:val="{8EAC42CB-6439-4597-924D-15DC5CD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71E5A-F688-4D43-B6E1-99CD4A279A2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DBAA9B5C-427C-48C2-9162-8004AA3C3811}"/>
</file>

<file path=customXml/itemProps4.xml><?xml version="1.0" encoding="utf-8"?>
<ds:datastoreItem xmlns:ds="http://schemas.openxmlformats.org/officeDocument/2006/customXml" ds:itemID="{A7136F5B-2DC1-46CA-835D-2719B4DECB12}"/>
</file>

<file path=customXml/itemProps5.xml><?xml version="1.0" encoding="utf-8"?>
<ds:datastoreItem xmlns:ds="http://schemas.openxmlformats.org/officeDocument/2006/customXml" ds:itemID="{E3BD497E-7399-4ED9-85E5-6CEC8C585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4</cp:revision>
  <cp:lastPrinted>2023-05-05T08:09:00Z</cp:lastPrinted>
  <dcterms:created xsi:type="dcterms:W3CDTF">2023-05-05T14:11:00Z</dcterms:created>
  <dcterms:modified xsi:type="dcterms:W3CDTF">2023-05-05T14:13:00Z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