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ind w:right="7609"/>
        <w:jc w:val="center"/>
        <w:rPr>
          <w:sz w:val="24"/>
          <w:szCs w:val="24"/>
        </w:rPr>
      </w:pP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MPCRG </w:t>
      </w: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INTERVENCI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N DE COSTA RICA </w:t>
      </w: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 EXAMEN PERI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DICO UNIVERSAL</w:t>
      </w: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Montenegro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Lunes 8 de mayo de 2023 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b w:val="1"/>
          <w:bCs w:val="1"/>
          <w:sz w:val="24"/>
          <w:szCs w:val="24"/>
          <w:rtl w:val="0"/>
          <w:lang w:val="es-ES_tradnl"/>
        </w:rPr>
        <w:t>9:00-12:30</w:t>
      </w: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Posici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31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1 minuto y 25 segundos</w:t>
      </w:r>
    </w:p>
    <w:p>
      <w:pPr>
        <w:pStyle w:val="Body A"/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[</w:t>
      </w:r>
      <w:r>
        <w:rPr>
          <w:i w:val="1"/>
          <w:iCs w:val="1"/>
          <w:sz w:val="24"/>
          <w:szCs w:val="24"/>
          <w:rtl w:val="0"/>
          <w:lang w:val="en-US"/>
        </w:rPr>
        <w:t>check against delivery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Gracias Presidente,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Costa Rica celebra la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del cuarto informe nacional de Montenegro y reconoce las acciones para integrar a las minor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as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tnicas, fortalecer el marco legislativo para la poblaci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LGTBIQ+ y la generaci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un indicador para medir la igualdad de g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nero. 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Costa Rica extiende las siguientes recomendaciones: 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Impulsar una mayor independencia y recursos suficientes para la Oficina de Protecci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los Derechos Humanos y las Libertades. </w:t>
      </w:r>
    </w:p>
    <w:p>
      <w:pPr>
        <w:pStyle w:val="Body A"/>
        <w:spacing w:after="0" w:line="240" w:lineRule="auto"/>
        <w:ind w:left="720" w:firstLine="0"/>
        <w:jc w:val="both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Combatir el discurso de odio con campa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as y medidas concretas que hagan frente a la violencia racista, especialmente hacia las comunidades roman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, askali y egipcia de los Balcanes, los refugiados, los solicitantes de asilo y los desplazados internos. 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Continuar con los esfuerzos para prohibir que el delito de tortura sea imprescriptible, en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nea con el CAT, y enjuiciar a las personas responsables de cometer cr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menes de guerra durante los conflictos de los Balcanes Occidentales. </w:t>
      </w:r>
    </w:p>
    <w:p>
      <w:pPr>
        <w:pStyle w:val="Body A"/>
        <w:spacing w:after="0" w:line="240" w:lineRule="auto"/>
        <w:ind w:left="720" w:firstLine="0"/>
        <w:jc w:val="both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Intensificar las medidas para proteger a la ni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ez de la trata y la explotaci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sexual, a trav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la aprobaci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Ley de Protecci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Social y de la Infancia.</w:t>
      </w:r>
    </w:p>
    <w:p>
      <w:pPr>
        <w:pStyle w:val="Body A"/>
        <w:spacing w:after="0" w:line="240" w:lineRule="auto"/>
        <w:ind w:left="720" w:firstLine="0"/>
        <w:jc w:val="both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Poner fin a la privaci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involuntaria de libertad de las personas con discapacidad psicosocial y 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garantizar su derecho a vivir de forma independiente y ser incluido en la comunidad.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Deseamos a Montenegro una exitosa implementaci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las recomendaciones. </w:t>
      </w:r>
    </w:p>
    <w:p>
      <w:pPr>
        <w:pStyle w:val="Body A"/>
        <w:spacing w:after="0" w:line="240" w:lineRule="auto"/>
        <w:jc w:val="both"/>
      </w:pPr>
    </w:p>
    <w:p>
      <w:pPr>
        <w:pStyle w:val="Body A"/>
        <w:spacing w:after="0" w:line="240" w:lineRule="auto"/>
        <w:jc w:val="both"/>
      </w:pPr>
      <w:r>
        <w:rPr>
          <w:sz w:val="24"/>
          <w:szCs w:val="24"/>
          <w:rtl w:val="0"/>
          <w:lang w:val="es-ES_tradnl"/>
        </w:rPr>
        <w:t>Muchas gracias,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7452A-3941-4305-BE4C-A9069EAD2C4F}"/>
</file>

<file path=customXml/itemProps2.xml><?xml version="1.0" encoding="utf-8"?>
<ds:datastoreItem xmlns:ds="http://schemas.openxmlformats.org/officeDocument/2006/customXml" ds:itemID="{C947C841-1CFB-4713-8512-341F53CAC7A1}"/>
</file>

<file path=customXml/itemProps3.xml><?xml version="1.0" encoding="utf-8"?>
<ds:datastoreItem xmlns:ds="http://schemas.openxmlformats.org/officeDocument/2006/customXml" ds:itemID="{CE64B79A-D64E-4318-8233-04239F2A3C4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