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3F37508E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A50E43">
        <w:rPr>
          <w:rFonts w:ascii="Arial" w:eastAsia="Times New Roman" w:hAnsi="Arial" w:cs="Arial"/>
          <w:b/>
        </w:rPr>
        <w:t>43</w:t>
      </w:r>
      <w:r w:rsidR="00A50E43" w:rsidRPr="00A50E43">
        <w:rPr>
          <w:rFonts w:ascii="Arial" w:eastAsia="Times New Roman" w:hAnsi="Arial" w:cs="Arial"/>
          <w:b/>
          <w:vertAlign w:val="superscript"/>
        </w:rPr>
        <w:t>rd</w:t>
      </w:r>
      <w:r w:rsidR="00A50E43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7F43B43C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Consideration of the UPR Report of</w:t>
      </w:r>
      <w:r w:rsidR="00A50E43">
        <w:rPr>
          <w:rFonts w:ascii="Arial" w:eastAsia="Times New Roman" w:hAnsi="Arial" w:cs="Arial"/>
          <w:b/>
        </w:rPr>
        <w:t xml:space="preserve"> Mali</w:t>
      </w:r>
    </w:p>
    <w:p w14:paraId="45A73836" w14:textId="4A890679" w:rsidR="00243D6B" w:rsidRPr="006544AB" w:rsidRDefault="00A50E43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0212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May</w:t>
      </w:r>
      <w:r w:rsidR="00243D6B" w:rsidRPr="006544A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14:paraId="59B155B3" w14:textId="77777777" w:rsidR="00732CF4" w:rsidRPr="00C93CFA" w:rsidRDefault="00732CF4" w:rsidP="00C93CF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90F4AF4" w14:textId="0B379FCB" w:rsidR="00BE30B4" w:rsidRPr="00D64A07" w:rsidRDefault="00A50E43" w:rsidP="00D64A07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64A07">
        <w:rPr>
          <w:rFonts w:ascii="Arial" w:hAnsi="Arial" w:cs="Arial"/>
          <w:b/>
          <w:bCs/>
          <w:sz w:val="26"/>
          <w:szCs w:val="26"/>
        </w:rPr>
        <w:t xml:space="preserve">Mr. Chair, </w:t>
      </w:r>
    </w:p>
    <w:p w14:paraId="146C088E" w14:textId="77777777" w:rsidR="00C93CFA" w:rsidRPr="00D64A07" w:rsidRDefault="00C93CFA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</w:p>
    <w:p w14:paraId="0F90D92D" w14:textId="77777777" w:rsidR="00C93CFA" w:rsidRPr="00D64A07" w:rsidRDefault="00C93CFA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  <w:r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Indonesia thanks the delegation of Mali for their report. </w:t>
      </w:r>
    </w:p>
    <w:p w14:paraId="42E83F8E" w14:textId="77777777" w:rsidR="00C93CFA" w:rsidRPr="00D64A07" w:rsidRDefault="00C93CFA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</w:p>
    <w:p w14:paraId="2437D941" w14:textId="1318BCEE" w:rsidR="005B0136" w:rsidRDefault="00D64A07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  <w:r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Amid the persistent and multidimensional challenges, we welcome the wide-ranging efforts undertaken to remain committed to implementing the UPR recommendations and striving for national reconciliation, lasting peace, and prosperity...</w:t>
      </w:r>
    </w:p>
    <w:p w14:paraId="2D2A407C" w14:textId="77777777" w:rsidR="00D64A07" w:rsidRPr="00D64A07" w:rsidRDefault="00D64A07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</w:p>
    <w:p w14:paraId="2A13206C" w14:textId="4C000301" w:rsidR="00C93CFA" w:rsidRPr="00D64A07" w:rsidRDefault="00C93CFA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  <w:r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To further improve progress in the promotion and protection of human rights i</w:t>
      </w:r>
      <w:r w:rsidR="00315C8C"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n Mali, Indonesia recommends</w:t>
      </w:r>
      <w:r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 xml:space="preserve"> the following:</w:t>
      </w:r>
    </w:p>
    <w:p w14:paraId="3ACF93DF" w14:textId="77777777" w:rsidR="00C93CFA" w:rsidRPr="00D64A07" w:rsidRDefault="00C93CFA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</w:p>
    <w:p w14:paraId="4868942C" w14:textId="099F27C0" w:rsidR="00C93CFA" w:rsidRPr="00D64A07" w:rsidRDefault="00D64A07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  <w:r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First, t</w:t>
      </w:r>
      <w:r w:rsidR="00C93CFA"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o ensure adequate resources to support the mandates of its National Human Rights Commission;</w:t>
      </w:r>
    </w:p>
    <w:p w14:paraId="45D1EE48" w14:textId="77777777" w:rsidR="00D64A07" w:rsidRDefault="00D64A07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</w:p>
    <w:p w14:paraId="0D0C1285" w14:textId="6DA1EDFD" w:rsidR="000C1290" w:rsidRPr="00D64A07" w:rsidRDefault="00D64A07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  <w:r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Second, t</w:t>
      </w:r>
      <w:r w:rsidR="000C1290"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o strengthen efforts in response to the food crisis, including expanding care for acute malnutrition in children. </w:t>
      </w:r>
    </w:p>
    <w:p w14:paraId="7C239B67" w14:textId="77777777" w:rsidR="00D64A07" w:rsidRDefault="00D64A07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</w:p>
    <w:p w14:paraId="519EB796" w14:textId="30FDFCD8" w:rsidR="00C93CFA" w:rsidRPr="00D64A07" w:rsidRDefault="00D64A07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  <w:r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Third, t</w:t>
      </w:r>
      <w:r w:rsidR="00C93CFA"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o strengthen measures to improve access and quality of education for all, particularly in rural and conflict-affected areas.</w:t>
      </w:r>
    </w:p>
    <w:p w14:paraId="7A30EBDF" w14:textId="77777777" w:rsidR="00D64A07" w:rsidRDefault="00D64A07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</w:p>
    <w:p w14:paraId="4F23EBE1" w14:textId="3159ED3F" w:rsidR="0071576F" w:rsidRPr="00D64A07" w:rsidRDefault="00D64A07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  <w:r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Fourth, t</w:t>
      </w:r>
      <w:r w:rsidR="0071576F"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o intensify efforts to enact a law to prohibit the use of children in armed conflict.</w:t>
      </w:r>
    </w:p>
    <w:p w14:paraId="50F5E6DC" w14:textId="77777777" w:rsidR="00C93CFA" w:rsidRPr="00D64A07" w:rsidRDefault="00C93CFA" w:rsidP="00D64A07">
      <w:pPr>
        <w:spacing w:line="276" w:lineRule="auto"/>
        <w:ind w:left="720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</w:p>
    <w:p w14:paraId="04A658F2" w14:textId="77777777" w:rsidR="00C93CFA" w:rsidRPr="00D64A07" w:rsidRDefault="00C93CFA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  <w:r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Indonesia wishes the delegation of Mali a successful review. </w:t>
      </w:r>
    </w:p>
    <w:p w14:paraId="7CAEF947" w14:textId="77777777" w:rsidR="00C93CFA" w:rsidRPr="00D64A07" w:rsidRDefault="00C93CFA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</w:p>
    <w:p w14:paraId="5F9E0FED" w14:textId="77777777" w:rsidR="00C93CFA" w:rsidRPr="00D64A07" w:rsidRDefault="00C93CFA" w:rsidP="00D64A07">
      <w:pPr>
        <w:spacing w:line="276" w:lineRule="auto"/>
        <w:jc w:val="both"/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</w:pPr>
      <w:r w:rsidRPr="00D64A07">
        <w:rPr>
          <w:rFonts w:ascii="Arial" w:eastAsia="Times New Roman" w:hAnsi="Arial" w:cs="Arial"/>
          <w:noProof w:val="0"/>
          <w:color w:val="0E101A"/>
          <w:sz w:val="26"/>
          <w:szCs w:val="26"/>
          <w:lang w:eastAsia="en-GB"/>
        </w:rPr>
        <w:t>I thank you.</w:t>
      </w:r>
    </w:p>
    <w:p w14:paraId="234EF76B" w14:textId="59C091DB" w:rsidR="0042333A" w:rsidRPr="0006765D" w:rsidRDefault="0042333A" w:rsidP="00904437">
      <w:pPr>
        <w:rPr>
          <w:rFonts w:ascii="Arial" w:eastAsia="Times New Roman" w:hAnsi="Arial" w:cs="Arial"/>
          <w:b/>
          <w:bCs/>
        </w:rPr>
      </w:pP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5BD7" w14:textId="77777777" w:rsidR="00B632E4" w:rsidRDefault="00B632E4" w:rsidP="00825A73">
      <w:r>
        <w:separator/>
      </w:r>
    </w:p>
  </w:endnote>
  <w:endnote w:type="continuationSeparator" w:id="0">
    <w:p w14:paraId="354EC861" w14:textId="77777777" w:rsidR="00B632E4" w:rsidRDefault="00B632E4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BFA2" w14:textId="77777777" w:rsidR="00B632E4" w:rsidRDefault="00B632E4" w:rsidP="00825A73">
      <w:r>
        <w:separator/>
      </w:r>
    </w:p>
  </w:footnote>
  <w:footnote w:type="continuationSeparator" w:id="0">
    <w:p w14:paraId="57B41210" w14:textId="77777777" w:rsidR="00B632E4" w:rsidRDefault="00B632E4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362"/>
    <w:multiLevelType w:val="multilevel"/>
    <w:tmpl w:val="7B48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4D2C"/>
    <w:multiLevelType w:val="multilevel"/>
    <w:tmpl w:val="C9D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144F2"/>
    <w:multiLevelType w:val="multilevel"/>
    <w:tmpl w:val="8844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8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1957498">
    <w:abstractNumId w:val="12"/>
  </w:num>
  <w:num w:numId="2" w16cid:durableId="1708873152">
    <w:abstractNumId w:val="28"/>
  </w:num>
  <w:num w:numId="3" w16cid:durableId="281543714">
    <w:abstractNumId w:val="22"/>
  </w:num>
  <w:num w:numId="4" w16cid:durableId="1543130418">
    <w:abstractNumId w:val="6"/>
  </w:num>
  <w:num w:numId="5" w16cid:durableId="1910461635">
    <w:abstractNumId w:val="10"/>
  </w:num>
  <w:num w:numId="6" w16cid:durableId="1594706595">
    <w:abstractNumId w:val="27"/>
  </w:num>
  <w:num w:numId="7" w16cid:durableId="856694598">
    <w:abstractNumId w:val="18"/>
  </w:num>
  <w:num w:numId="8" w16cid:durableId="2034570914">
    <w:abstractNumId w:val="25"/>
  </w:num>
  <w:num w:numId="9" w16cid:durableId="1112439244">
    <w:abstractNumId w:val="19"/>
  </w:num>
  <w:num w:numId="10" w16cid:durableId="1931233605">
    <w:abstractNumId w:val="0"/>
  </w:num>
  <w:num w:numId="11" w16cid:durableId="1976593525">
    <w:abstractNumId w:val="9"/>
  </w:num>
  <w:num w:numId="12" w16cid:durableId="1994992866">
    <w:abstractNumId w:val="21"/>
  </w:num>
  <w:num w:numId="13" w16cid:durableId="591545077">
    <w:abstractNumId w:val="13"/>
  </w:num>
  <w:num w:numId="14" w16cid:durableId="1620840184">
    <w:abstractNumId w:val="14"/>
  </w:num>
  <w:num w:numId="15" w16cid:durableId="2001812850">
    <w:abstractNumId w:val="3"/>
  </w:num>
  <w:num w:numId="16" w16cid:durableId="1051265067">
    <w:abstractNumId w:val="26"/>
  </w:num>
  <w:num w:numId="17" w16cid:durableId="55664823">
    <w:abstractNumId w:val="1"/>
  </w:num>
  <w:num w:numId="18" w16cid:durableId="1501313284">
    <w:abstractNumId w:val="4"/>
  </w:num>
  <w:num w:numId="19" w16cid:durableId="62529801">
    <w:abstractNumId w:val="16"/>
  </w:num>
  <w:num w:numId="20" w16cid:durableId="1399749810">
    <w:abstractNumId w:val="5"/>
  </w:num>
  <w:num w:numId="21" w16cid:durableId="1201891839">
    <w:abstractNumId w:val="7"/>
  </w:num>
  <w:num w:numId="22" w16cid:durableId="2048949752">
    <w:abstractNumId w:val="17"/>
  </w:num>
  <w:num w:numId="23" w16cid:durableId="224679626">
    <w:abstractNumId w:val="11"/>
  </w:num>
  <w:num w:numId="24" w16cid:durableId="2033141800">
    <w:abstractNumId w:val="20"/>
  </w:num>
  <w:num w:numId="25" w16cid:durableId="2045249065">
    <w:abstractNumId w:val="23"/>
  </w:num>
  <w:num w:numId="26" w16cid:durableId="1136068722">
    <w:abstractNumId w:val="15"/>
  </w:num>
  <w:num w:numId="27" w16cid:durableId="2111117689">
    <w:abstractNumId w:val="8"/>
  </w:num>
  <w:num w:numId="28" w16cid:durableId="2024161305">
    <w:abstractNumId w:val="24"/>
  </w:num>
  <w:num w:numId="29" w16cid:durableId="92745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170D"/>
    <w:rsid w:val="00001F2B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3B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290"/>
    <w:rsid w:val="000C1395"/>
    <w:rsid w:val="000D0B2F"/>
    <w:rsid w:val="000D144B"/>
    <w:rsid w:val="000D1586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74EF"/>
    <w:rsid w:val="00150CFA"/>
    <w:rsid w:val="00151DAA"/>
    <w:rsid w:val="001522BF"/>
    <w:rsid w:val="00164999"/>
    <w:rsid w:val="00166029"/>
    <w:rsid w:val="00170030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C8A"/>
    <w:rsid w:val="001D1C4E"/>
    <w:rsid w:val="001D2669"/>
    <w:rsid w:val="001D4AC5"/>
    <w:rsid w:val="001D7AED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615E"/>
    <w:rsid w:val="00307D85"/>
    <w:rsid w:val="00311762"/>
    <w:rsid w:val="00315C8C"/>
    <w:rsid w:val="003217E8"/>
    <w:rsid w:val="00323B6D"/>
    <w:rsid w:val="003252C2"/>
    <w:rsid w:val="0033335E"/>
    <w:rsid w:val="00334800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B0136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1576F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2118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09CE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01BB"/>
    <w:rsid w:val="009F23BF"/>
    <w:rsid w:val="00A104B3"/>
    <w:rsid w:val="00A11CE7"/>
    <w:rsid w:val="00A141E9"/>
    <w:rsid w:val="00A16FB1"/>
    <w:rsid w:val="00A27DE5"/>
    <w:rsid w:val="00A35D1A"/>
    <w:rsid w:val="00A40336"/>
    <w:rsid w:val="00A4386F"/>
    <w:rsid w:val="00A47F2C"/>
    <w:rsid w:val="00A50E43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9D0"/>
    <w:rsid w:val="00B2493E"/>
    <w:rsid w:val="00B25D2C"/>
    <w:rsid w:val="00B26822"/>
    <w:rsid w:val="00B32742"/>
    <w:rsid w:val="00B4050A"/>
    <w:rsid w:val="00B439C0"/>
    <w:rsid w:val="00B468A2"/>
    <w:rsid w:val="00B530F6"/>
    <w:rsid w:val="00B572C2"/>
    <w:rsid w:val="00B632E4"/>
    <w:rsid w:val="00B641BD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D2843"/>
    <w:rsid w:val="00BE30B4"/>
    <w:rsid w:val="00BE71C3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3CFA"/>
    <w:rsid w:val="00C9707F"/>
    <w:rsid w:val="00CA3E75"/>
    <w:rsid w:val="00CA49B7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48F0"/>
    <w:rsid w:val="00D06F1E"/>
    <w:rsid w:val="00D2020A"/>
    <w:rsid w:val="00D31119"/>
    <w:rsid w:val="00D3728B"/>
    <w:rsid w:val="00D4056C"/>
    <w:rsid w:val="00D549E8"/>
    <w:rsid w:val="00D6221B"/>
    <w:rsid w:val="00D64A07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3CFA"/>
    <w:pPr>
      <w:spacing w:before="100" w:beforeAutospacing="1" w:after="100" w:afterAutospacing="1"/>
    </w:pPr>
    <w:rPr>
      <w:rFonts w:eastAsia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B3A61-4BF7-406D-A0A4-50D4E2E697C8}"/>
</file>

<file path=customXml/itemProps2.xml><?xml version="1.0" encoding="utf-8"?>
<ds:datastoreItem xmlns:ds="http://schemas.openxmlformats.org/officeDocument/2006/customXml" ds:itemID="{2E90E167-6419-4687-8488-38C92DEC8194}"/>
</file>

<file path=customXml/itemProps3.xml><?xml version="1.0" encoding="utf-8"?>
<ds:datastoreItem xmlns:ds="http://schemas.openxmlformats.org/officeDocument/2006/customXml" ds:itemID="{6822B970-96C2-401E-A1F3-E4AB0EFEA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Anindityo Adi Primasto</cp:lastModifiedBy>
  <cp:revision>3</cp:revision>
  <cp:lastPrinted>2023-05-02T10:00:00Z</cp:lastPrinted>
  <dcterms:created xsi:type="dcterms:W3CDTF">2023-05-02T09:57:00Z</dcterms:created>
  <dcterms:modified xsi:type="dcterms:W3CDTF">2023-05-02T10:05:00Z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