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31DE" w14:textId="77777777" w:rsidR="000B31E3" w:rsidRDefault="000B31E3" w:rsidP="000B31E3">
      <w:pPr>
        <w:jc w:val="center"/>
        <w:rPr>
          <w:b/>
          <w:bCs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695DA481" wp14:editId="487CDA3B">
            <wp:extent cx="2241550" cy="2736850"/>
            <wp:effectExtent l="0" t="0" r="6350" b="6350"/>
            <wp:docPr id="1986122900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6122900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0B963" w14:textId="77777777" w:rsidR="000B31E3" w:rsidRPr="000B31E3" w:rsidRDefault="000B31E3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3BD43BB" w14:textId="77777777" w:rsidR="00AE540A" w:rsidRDefault="00AE540A" w:rsidP="000B31E3">
      <w:pPr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</w:p>
    <w:p w14:paraId="476A7E6C" w14:textId="2847560F" w:rsidR="006F6858" w:rsidRPr="00AE540A" w:rsidRDefault="00AE540A" w:rsidP="000B31E3">
      <w:pPr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AE540A">
        <w:rPr>
          <w:rFonts w:ascii="Arial Narrow" w:eastAsia="Times New Roman" w:hAnsi="Arial Narrow" w:cs="Times New Roman"/>
          <w:b/>
          <w:sz w:val="24"/>
          <w:szCs w:val="24"/>
          <w:u w:val="single"/>
        </w:rPr>
        <w:t>EDUCATION INTERVENTION</w:t>
      </w:r>
    </w:p>
    <w:p w14:paraId="55CD0CF6" w14:textId="77777777" w:rsidR="000B31E3" w:rsidRPr="000B31E3" w:rsidRDefault="000B31E3" w:rsidP="000B31E3">
      <w:pPr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5E5DCDF1" w14:textId="77777777" w:rsidR="00AE540A" w:rsidRDefault="00AE540A" w:rsidP="00AE540A">
      <w:pPr>
        <w:spacing w:before="240" w:after="240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ON THE OCCASION OF THE</w:t>
      </w:r>
    </w:p>
    <w:p w14:paraId="4FB28C6A" w14:textId="77777777" w:rsidR="00AE540A" w:rsidRDefault="00AE540A" w:rsidP="00AE540A">
      <w:pPr>
        <w:spacing w:before="240" w:after="240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FOURTH CYCLE OF THE UNIVERSAL PERIODIC REVIEW </w:t>
      </w:r>
    </w:p>
    <w:p w14:paraId="0FC18DA3" w14:textId="77777777" w:rsidR="00AE540A" w:rsidRDefault="00AE540A" w:rsidP="00AE540A">
      <w:pPr>
        <w:spacing w:before="240" w:after="240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OF</w:t>
      </w:r>
    </w:p>
    <w:p w14:paraId="0F635280" w14:textId="77777777" w:rsidR="00AE540A" w:rsidRDefault="00AE540A" w:rsidP="00AE540A">
      <w:pPr>
        <w:spacing w:before="240" w:after="240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THE COMMONWEALTH OF THE BAHAMAS</w:t>
      </w:r>
    </w:p>
    <w:p w14:paraId="7060B963" w14:textId="77777777" w:rsidR="00AE540A" w:rsidRDefault="00AE540A" w:rsidP="00AE540A">
      <w:pPr>
        <w:spacing w:before="240" w:after="240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AT THE</w:t>
      </w:r>
    </w:p>
    <w:p w14:paraId="49B4F058" w14:textId="77777777" w:rsidR="00AE540A" w:rsidRDefault="00AE540A" w:rsidP="00AE540A">
      <w:pPr>
        <w:spacing w:before="240" w:after="240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43</w:t>
      </w:r>
      <w:r>
        <w:rPr>
          <w:rFonts w:ascii="Arial Narrow" w:eastAsia="Times New Roman" w:hAnsi="Arial Narrow" w:cs="Times New Roman"/>
          <w:b/>
          <w:sz w:val="24"/>
          <w:szCs w:val="24"/>
          <w:vertAlign w:val="superscript"/>
        </w:rPr>
        <w:t>RD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SESSION OF THE UNIVERSAL PERIODIC REVIEW WORKING GROUP</w:t>
      </w:r>
    </w:p>
    <w:p w14:paraId="3D7530AB" w14:textId="77777777" w:rsidR="00AE540A" w:rsidRDefault="00AE540A" w:rsidP="00AE540A">
      <w:pPr>
        <w:spacing w:before="240" w:after="240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UNITED NATIONS HUMAN RIGHTS COUNCIL</w:t>
      </w:r>
      <w:r>
        <w:rPr>
          <w:rFonts w:ascii="Arial Narrow" w:eastAsia="Times New Roman" w:hAnsi="Arial Narrow" w:cs="Times New Roman"/>
          <w:b/>
          <w:sz w:val="24"/>
          <w:szCs w:val="24"/>
        </w:rPr>
        <w:br/>
      </w:r>
    </w:p>
    <w:p w14:paraId="53D8DBA6" w14:textId="77777777" w:rsidR="00AE540A" w:rsidRDefault="00AE540A" w:rsidP="00AE540A">
      <w:pPr>
        <w:spacing w:before="240" w:after="240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3</w:t>
      </w:r>
      <w:r>
        <w:rPr>
          <w:rFonts w:ascii="Arial Narrow" w:eastAsia="Times New Roman" w:hAnsi="Arial Narrow" w:cs="Times New Roman"/>
          <w:b/>
          <w:sz w:val="24"/>
          <w:szCs w:val="24"/>
          <w:vertAlign w:val="superscript"/>
        </w:rPr>
        <w:t>RD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MAY 2023</w:t>
      </w:r>
    </w:p>
    <w:p w14:paraId="656ABA9A" w14:textId="416F4CBE" w:rsidR="00AE540A" w:rsidRPr="000B31E3" w:rsidRDefault="00AE540A" w:rsidP="00AE540A">
      <w:pPr>
        <w:jc w:val="center"/>
        <w:rPr>
          <w:b/>
          <w:bCs/>
          <w:color w:val="000000"/>
          <w:sz w:val="27"/>
          <w:szCs w:val="27"/>
          <w:u w:val="single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br/>
        <w:t>GENEVA, SWITZERLAND</w:t>
      </w:r>
    </w:p>
    <w:p w14:paraId="61D7769A" w14:textId="77777777" w:rsidR="000B31E3" w:rsidRDefault="000B31E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14:paraId="0F400738" w14:textId="633420B4" w:rsidR="008230DE" w:rsidRPr="000B31E3" w:rsidRDefault="008230DE" w:rsidP="009679A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B31E3">
        <w:rPr>
          <w:rFonts w:ascii="Arial" w:hAnsi="Arial" w:cs="Arial"/>
          <w:color w:val="000000"/>
          <w:sz w:val="24"/>
          <w:szCs w:val="24"/>
        </w:rPr>
        <w:lastRenderedPageBreak/>
        <w:t>In The Bahamas we agree that access to education, even in the most challenging of environments, is a human right.</w:t>
      </w:r>
    </w:p>
    <w:p w14:paraId="5B47FBD4" w14:textId="2ED3D285" w:rsidR="00C413E6" w:rsidRPr="000B31E3" w:rsidRDefault="00C413E6" w:rsidP="009679A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B31E3">
        <w:rPr>
          <w:rFonts w:ascii="Arial" w:hAnsi="Arial" w:cs="Arial"/>
          <w:color w:val="000000"/>
          <w:sz w:val="24"/>
          <w:szCs w:val="24"/>
        </w:rPr>
        <w:t xml:space="preserve">In March 2020, following the announcement of the first COVID-19 case in The Bahamas, the closure of schools was one of the strategies implemented to mitigate the spread of the virus. </w:t>
      </w:r>
      <w:r w:rsidR="00BA4218" w:rsidRPr="000B31E3">
        <w:rPr>
          <w:rFonts w:ascii="Arial" w:hAnsi="Arial" w:cs="Arial"/>
          <w:color w:val="000000"/>
          <w:sz w:val="24"/>
          <w:szCs w:val="24"/>
        </w:rPr>
        <w:t>This strategy</w:t>
      </w:r>
      <w:r w:rsidRPr="000B31E3">
        <w:rPr>
          <w:rFonts w:ascii="Arial" w:hAnsi="Arial" w:cs="Arial"/>
          <w:color w:val="000000"/>
          <w:sz w:val="24"/>
          <w:szCs w:val="24"/>
        </w:rPr>
        <w:t xml:space="preserve"> though considered effective to prevent the spread of COVID-19, exasperated issues related to student attendance, academic achievement and psychosocial concerns. </w:t>
      </w:r>
    </w:p>
    <w:p w14:paraId="24B6FD0E" w14:textId="16712C1B" w:rsidR="00E66F62" w:rsidRPr="000B31E3" w:rsidRDefault="00832305" w:rsidP="009679A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B31E3">
        <w:rPr>
          <w:rFonts w:ascii="Arial" w:hAnsi="Arial" w:cs="Arial"/>
          <w:color w:val="000000"/>
          <w:sz w:val="24"/>
          <w:szCs w:val="24"/>
        </w:rPr>
        <w:t xml:space="preserve">At the start of the 2021-2022 School Year, it was determined that </w:t>
      </w:r>
      <w:r w:rsidR="00E66F62" w:rsidRPr="000B31E3">
        <w:rPr>
          <w:rFonts w:ascii="Arial" w:hAnsi="Arial" w:cs="Arial"/>
          <w:color w:val="000000"/>
          <w:sz w:val="24"/>
          <w:szCs w:val="24"/>
        </w:rPr>
        <w:t xml:space="preserve">across the Bahamas there </w:t>
      </w:r>
      <w:r w:rsidRPr="000B31E3">
        <w:rPr>
          <w:rFonts w:ascii="Arial" w:hAnsi="Arial" w:cs="Arial"/>
          <w:color w:val="000000"/>
          <w:sz w:val="24"/>
          <w:szCs w:val="24"/>
        </w:rPr>
        <w:t>were approximately 4,512 students of the 41,813 students enrolled in the Public Education System</w:t>
      </w:r>
      <w:r w:rsidR="00E66F62" w:rsidRPr="000B31E3">
        <w:rPr>
          <w:rFonts w:ascii="Arial" w:hAnsi="Arial" w:cs="Arial"/>
          <w:color w:val="000000"/>
          <w:sz w:val="24"/>
          <w:szCs w:val="24"/>
        </w:rPr>
        <w:t xml:space="preserve"> missing</w:t>
      </w:r>
      <w:r w:rsidRPr="000B31E3">
        <w:rPr>
          <w:rFonts w:ascii="Arial" w:hAnsi="Arial" w:cs="Arial"/>
          <w:color w:val="000000"/>
          <w:sz w:val="24"/>
          <w:szCs w:val="24"/>
        </w:rPr>
        <w:t xml:space="preserve">. This represented some 11% of the </w:t>
      </w:r>
      <w:r w:rsidR="008230DE" w:rsidRPr="000B31E3">
        <w:rPr>
          <w:rFonts w:ascii="Arial" w:hAnsi="Arial" w:cs="Arial"/>
          <w:color w:val="000000"/>
          <w:sz w:val="24"/>
          <w:szCs w:val="24"/>
        </w:rPr>
        <w:t>public-school</w:t>
      </w:r>
      <w:r w:rsidR="00E66F62" w:rsidRPr="000B31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B31E3">
        <w:rPr>
          <w:rFonts w:ascii="Arial" w:hAnsi="Arial" w:cs="Arial"/>
          <w:color w:val="000000"/>
          <w:sz w:val="24"/>
          <w:szCs w:val="24"/>
        </w:rPr>
        <w:t xml:space="preserve">student population. </w:t>
      </w:r>
      <w:r w:rsidR="00A6505A" w:rsidRPr="000B31E3">
        <w:rPr>
          <w:rFonts w:ascii="Arial" w:hAnsi="Arial" w:cs="Arial"/>
          <w:color w:val="000000"/>
          <w:sz w:val="24"/>
          <w:szCs w:val="24"/>
        </w:rPr>
        <w:t xml:space="preserve"> Even more concerning, </w:t>
      </w:r>
      <w:r w:rsidR="00D450B7" w:rsidRPr="000B31E3">
        <w:rPr>
          <w:rFonts w:ascii="Arial" w:hAnsi="Arial" w:cs="Arial"/>
          <w:color w:val="000000"/>
          <w:sz w:val="24"/>
          <w:szCs w:val="24"/>
        </w:rPr>
        <w:t>close to 8,000 students were completely disengaged</w:t>
      </w:r>
      <w:r w:rsidR="00C92D92" w:rsidRPr="000B31E3">
        <w:rPr>
          <w:rFonts w:ascii="Arial" w:hAnsi="Arial" w:cs="Arial"/>
          <w:color w:val="000000"/>
          <w:sz w:val="24"/>
          <w:szCs w:val="24"/>
        </w:rPr>
        <w:t xml:space="preserve"> from instruction for more than 75% of the school year.</w:t>
      </w:r>
    </w:p>
    <w:p w14:paraId="7A176B10" w14:textId="2661AD16" w:rsidR="00832305" w:rsidRPr="000B31E3" w:rsidRDefault="00E66F62" w:rsidP="009679A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B31E3">
        <w:rPr>
          <w:rFonts w:ascii="Arial" w:hAnsi="Arial" w:cs="Arial"/>
          <w:color w:val="000000"/>
          <w:sz w:val="24"/>
          <w:szCs w:val="24"/>
        </w:rPr>
        <w:t>Even though</w:t>
      </w:r>
      <w:r w:rsidR="00832305" w:rsidRPr="000B31E3">
        <w:rPr>
          <w:rFonts w:ascii="Arial" w:hAnsi="Arial" w:cs="Arial"/>
          <w:color w:val="000000"/>
          <w:sz w:val="24"/>
          <w:szCs w:val="24"/>
        </w:rPr>
        <w:t xml:space="preserve"> the Ministry of Education</w:t>
      </w:r>
      <w:r w:rsidRPr="000B31E3">
        <w:rPr>
          <w:rFonts w:ascii="Arial" w:hAnsi="Arial" w:cs="Arial"/>
          <w:color w:val="000000"/>
          <w:sz w:val="24"/>
          <w:szCs w:val="24"/>
        </w:rPr>
        <w:t xml:space="preserve"> had developed three instructional models: remote, face to face and hybrid instruction, to ensure continuation of learning in the face of disruption, it was recognized that </w:t>
      </w:r>
      <w:r w:rsidR="006C4E51" w:rsidRPr="000B31E3">
        <w:rPr>
          <w:rFonts w:ascii="Arial" w:hAnsi="Arial" w:cs="Arial"/>
          <w:color w:val="000000"/>
          <w:sz w:val="24"/>
          <w:szCs w:val="24"/>
        </w:rPr>
        <w:t>there was a need</w:t>
      </w:r>
      <w:r w:rsidRPr="000B31E3">
        <w:rPr>
          <w:rFonts w:ascii="Arial" w:hAnsi="Arial" w:cs="Arial"/>
          <w:color w:val="000000"/>
          <w:sz w:val="24"/>
          <w:szCs w:val="24"/>
        </w:rPr>
        <w:t xml:space="preserve"> to immediately put in place strategies to Find Every Child, return them to learning AND counter the learning losses at policy, program and operational levels. </w:t>
      </w:r>
      <w:r w:rsidR="002014B8" w:rsidRPr="000B31E3">
        <w:rPr>
          <w:rFonts w:ascii="Arial" w:hAnsi="Arial" w:cs="Arial"/>
          <w:color w:val="000000"/>
          <w:sz w:val="24"/>
          <w:szCs w:val="24"/>
        </w:rPr>
        <w:t>Thus,</w:t>
      </w:r>
      <w:r w:rsidR="006C4E51" w:rsidRPr="000B31E3">
        <w:rPr>
          <w:rFonts w:ascii="Arial" w:hAnsi="Arial" w:cs="Arial"/>
          <w:color w:val="000000"/>
          <w:sz w:val="24"/>
          <w:szCs w:val="24"/>
        </w:rPr>
        <w:t xml:space="preserve"> the Find Every Child Initiative was born.</w:t>
      </w:r>
    </w:p>
    <w:p w14:paraId="32BBB067" w14:textId="3DDFFBB2" w:rsidR="00941374" w:rsidRPr="000B31E3" w:rsidRDefault="00941374" w:rsidP="009679A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B31E3">
        <w:rPr>
          <w:rFonts w:ascii="Arial" w:hAnsi="Arial" w:cs="Arial"/>
          <w:color w:val="000000"/>
          <w:sz w:val="24"/>
          <w:szCs w:val="24"/>
        </w:rPr>
        <w:t>The strategies developed were divided into four main categories, Ministry led, School-based, Community-based and Communication Centered. The strategies for the Find Every Child Initiative</w:t>
      </w:r>
      <w:r w:rsidR="008230DE" w:rsidRPr="000B31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B31E3">
        <w:rPr>
          <w:rFonts w:ascii="Arial" w:hAnsi="Arial" w:cs="Arial"/>
          <w:color w:val="000000"/>
          <w:sz w:val="24"/>
          <w:szCs w:val="24"/>
        </w:rPr>
        <w:t>include</w:t>
      </w:r>
      <w:r w:rsidR="006C4E51" w:rsidRPr="000B31E3">
        <w:rPr>
          <w:rFonts w:ascii="Arial" w:hAnsi="Arial" w:cs="Arial"/>
          <w:color w:val="000000"/>
          <w:sz w:val="24"/>
          <w:szCs w:val="24"/>
        </w:rPr>
        <w:t>d</w:t>
      </w:r>
      <w:r w:rsidR="005851FB" w:rsidRPr="000B31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B31E3">
        <w:rPr>
          <w:rFonts w:ascii="Arial" w:hAnsi="Arial" w:cs="Arial"/>
          <w:color w:val="000000"/>
          <w:sz w:val="24"/>
          <w:szCs w:val="24"/>
        </w:rPr>
        <w:t xml:space="preserve">the formation of a National Task </w:t>
      </w:r>
      <w:r w:rsidR="00955B7A" w:rsidRPr="000B31E3">
        <w:rPr>
          <w:rFonts w:ascii="Arial" w:hAnsi="Arial" w:cs="Arial"/>
          <w:color w:val="000000"/>
          <w:sz w:val="24"/>
          <w:szCs w:val="24"/>
        </w:rPr>
        <w:t>F</w:t>
      </w:r>
      <w:r w:rsidRPr="000B31E3">
        <w:rPr>
          <w:rFonts w:ascii="Arial" w:hAnsi="Arial" w:cs="Arial"/>
          <w:color w:val="000000"/>
          <w:sz w:val="24"/>
          <w:szCs w:val="24"/>
        </w:rPr>
        <w:t xml:space="preserve">orce </w:t>
      </w:r>
      <w:r w:rsidR="005851FB" w:rsidRPr="000B31E3">
        <w:rPr>
          <w:rFonts w:ascii="Arial" w:hAnsi="Arial" w:cs="Arial"/>
          <w:color w:val="000000"/>
          <w:sz w:val="24"/>
          <w:szCs w:val="24"/>
        </w:rPr>
        <w:t>commissioned</w:t>
      </w:r>
      <w:r w:rsidRPr="000B31E3">
        <w:rPr>
          <w:rFonts w:ascii="Arial" w:hAnsi="Arial" w:cs="Arial"/>
          <w:color w:val="000000"/>
          <w:sz w:val="24"/>
          <w:szCs w:val="24"/>
        </w:rPr>
        <w:t xml:space="preserve"> by the Minister of Education </w:t>
      </w:r>
      <w:r w:rsidR="00F83D62" w:rsidRPr="000B31E3">
        <w:rPr>
          <w:rFonts w:ascii="Arial" w:hAnsi="Arial" w:cs="Arial"/>
          <w:color w:val="000000"/>
          <w:sz w:val="24"/>
          <w:szCs w:val="24"/>
        </w:rPr>
        <w:t>in January 2021. This Task Force was</w:t>
      </w:r>
      <w:r w:rsidRPr="000B31E3">
        <w:rPr>
          <w:rFonts w:ascii="Arial" w:hAnsi="Arial" w:cs="Arial"/>
          <w:color w:val="000000"/>
          <w:sz w:val="24"/>
          <w:szCs w:val="24"/>
        </w:rPr>
        <w:t xml:space="preserve"> comprised of representatives of</w:t>
      </w:r>
      <w:r w:rsidR="00955B7A" w:rsidRPr="000B31E3">
        <w:rPr>
          <w:rFonts w:ascii="Arial" w:hAnsi="Arial" w:cs="Arial"/>
          <w:color w:val="000000"/>
          <w:sz w:val="24"/>
          <w:szCs w:val="24"/>
        </w:rPr>
        <w:t xml:space="preserve"> several</w:t>
      </w:r>
      <w:r w:rsidRPr="000B31E3">
        <w:rPr>
          <w:rFonts w:ascii="Arial" w:hAnsi="Arial" w:cs="Arial"/>
          <w:color w:val="000000"/>
          <w:sz w:val="24"/>
          <w:szCs w:val="24"/>
        </w:rPr>
        <w:t xml:space="preserve"> government agencies</w:t>
      </w:r>
      <w:r w:rsidR="00955B7A" w:rsidRPr="000B31E3">
        <w:rPr>
          <w:rFonts w:ascii="Arial" w:hAnsi="Arial" w:cs="Arial"/>
          <w:color w:val="000000"/>
          <w:sz w:val="24"/>
          <w:szCs w:val="24"/>
        </w:rPr>
        <w:t xml:space="preserve">, </w:t>
      </w:r>
      <w:r w:rsidR="00F83D62" w:rsidRPr="000B31E3">
        <w:rPr>
          <w:rFonts w:ascii="Arial" w:hAnsi="Arial" w:cs="Arial"/>
          <w:color w:val="000000"/>
          <w:sz w:val="24"/>
          <w:szCs w:val="24"/>
        </w:rPr>
        <w:t xml:space="preserve">including the </w:t>
      </w:r>
      <w:r w:rsidR="00955B7A" w:rsidRPr="000B31E3">
        <w:rPr>
          <w:rFonts w:ascii="Arial" w:hAnsi="Arial" w:cs="Arial"/>
          <w:color w:val="000000"/>
          <w:sz w:val="24"/>
          <w:szCs w:val="24"/>
        </w:rPr>
        <w:t xml:space="preserve">Department of Social Services, the Royal Bahamas Police </w:t>
      </w:r>
      <w:r w:rsidR="00F83D62" w:rsidRPr="000B31E3">
        <w:rPr>
          <w:rFonts w:ascii="Arial" w:hAnsi="Arial" w:cs="Arial"/>
          <w:color w:val="000000"/>
          <w:sz w:val="24"/>
          <w:szCs w:val="24"/>
        </w:rPr>
        <w:t>F</w:t>
      </w:r>
      <w:r w:rsidR="00955B7A" w:rsidRPr="000B31E3">
        <w:rPr>
          <w:rFonts w:ascii="Arial" w:hAnsi="Arial" w:cs="Arial"/>
          <w:color w:val="000000"/>
          <w:sz w:val="24"/>
          <w:szCs w:val="24"/>
        </w:rPr>
        <w:t xml:space="preserve">orce, the Office of the Attorney General, as well as </w:t>
      </w:r>
      <w:r w:rsidRPr="000B31E3">
        <w:rPr>
          <w:rFonts w:ascii="Arial" w:hAnsi="Arial" w:cs="Arial"/>
          <w:color w:val="000000"/>
          <w:sz w:val="24"/>
          <w:szCs w:val="24"/>
        </w:rPr>
        <w:t>civic</w:t>
      </w:r>
      <w:r w:rsidR="00955B7A" w:rsidRPr="000B31E3">
        <w:rPr>
          <w:rFonts w:ascii="Arial" w:hAnsi="Arial" w:cs="Arial"/>
          <w:color w:val="000000"/>
          <w:sz w:val="24"/>
          <w:szCs w:val="24"/>
        </w:rPr>
        <w:t xml:space="preserve"> groups like the Church</w:t>
      </w:r>
      <w:r w:rsidR="00F83D62" w:rsidRPr="000B31E3">
        <w:rPr>
          <w:rFonts w:ascii="Arial" w:hAnsi="Arial" w:cs="Arial"/>
          <w:color w:val="000000"/>
          <w:sz w:val="24"/>
          <w:szCs w:val="24"/>
        </w:rPr>
        <w:t>. The group</w:t>
      </w:r>
      <w:r w:rsidRPr="000B31E3">
        <w:rPr>
          <w:rFonts w:ascii="Arial" w:hAnsi="Arial" w:cs="Arial"/>
          <w:color w:val="000000"/>
          <w:sz w:val="24"/>
          <w:szCs w:val="24"/>
        </w:rPr>
        <w:t xml:space="preserve"> </w:t>
      </w:r>
      <w:r w:rsidR="00F83D62" w:rsidRPr="000B31E3">
        <w:rPr>
          <w:rFonts w:ascii="Arial" w:hAnsi="Arial" w:cs="Arial"/>
          <w:color w:val="000000"/>
          <w:sz w:val="24"/>
          <w:szCs w:val="24"/>
        </w:rPr>
        <w:t xml:space="preserve">was mandated </w:t>
      </w:r>
      <w:r w:rsidR="00955B7A" w:rsidRPr="000B31E3">
        <w:rPr>
          <w:rFonts w:ascii="Arial" w:hAnsi="Arial" w:cs="Arial"/>
          <w:color w:val="000000"/>
          <w:sz w:val="24"/>
          <w:szCs w:val="24"/>
        </w:rPr>
        <w:t>to determine who was missing, address challenges</w:t>
      </w:r>
      <w:r w:rsidR="00F83D62" w:rsidRPr="000B31E3">
        <w:rPr>
          <w:rFonts w:ascii="Arial" w:hAnsi="Arial" w:cs="Arial"/>
          <w:color w:val="000000"/>
          <w:sz w:val="24"/>
          <w:szCs w:val="24"/>
        </w:rPr>
        <w:t xml:space="preserve"> that kept students away from school</w:t>
      </w:r>
      <w:r w:rsidR="00955B7A" w:rsidRPr="000B31E3">
        <w:rPr>
          <w:rFonts w:ascii="Arial" w:hAnsi="Arial" w:cs="Arial"/>
          <w:color w:val="000000"/>
          <w:sz w:val="24"/>
          <w:szCs w:val="24"/>
        </w:rPr>
        <w:t xml:space="preserve"> and bring them back to learning in the shortest possible time. </w:t>
      </w:r>
    </w:p>
    <w:p w14:paraId="7454F8A2" w14:textId="4BCCC6E9" w:rsidR="005851FB" w:rsidRPr="000B31E3" w:rsidRDefault="005851FB" w:rsidP="009679A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B31E3">
        <w:rPr>
          <w:rFonts w:ascii="Arial" w:hAnsi="Arial" w:cs="Arial"/>
          <w:color w:val="000000"/>
          <w:sz w:val="24"/>
          <w:szCs w:val="24"/>
        </w:rPr>
        <w:t xml:space="preserve">The Office of the Prime Minister </w:t>
      </w:r>
      <w:r w:rsidR="00F83D62" w:rsidRPr="000B31E3">
        <w:rPr>
          <w:rFonts w:ascii="Arial" w:hAnsi="Arial" w:cs="Arial"/>
          <w:color w:val="000000"/>
          <w:sz w:val="24"/>
          <w:szCs w:val="24"/>
        </w:rPr>
        <w:t>supports this initiative, providing</w:t>
      </w:r>
      <w:r w:rsidRPr="000B31E3">
        <w:rPr>
          <w:rFonts w:ascii="Arial" w:hAnsi="Arial" w:cs="Arial"/>
          <w:color w:val="000000"/>
          <w:sz w:val="24"/>
          <w:szCs w:val="24"/>
        </w:rPr>
        <w:t xml:space="preserve"> technical support to the Ministry of Education</w:t>
      </w:r>
      <w:r w:rsidR="00F83D62" w:rsidRPr="000B31E3">
        <w:rPr>
          <w:rFonts w:ascii="Arial" w:hAnsi="Arial" w:cs="Arial"/>
          <w:color w:val="000000"/>
          <w:sz w:val="24"/>
          <w:szCs w:val="24"/>
        </w:rPr>
        <w:t>’ Planning Section, using</w:t>
      </w:r>
      <w:r w:rsidRPr="000B31E3">
        <w:rPr>
          <w:rFonts w:ascii="Arial" w:hAnsi="Arial" w:cs="Arial"/>
          <w:color w:val="000000"/>
          <w:sz w:val="24"/>
          <w:szCs w:val="24"/>
        </w:rPr>
        <w:t xml:space="preserve"> the quantitative data f</w:t>
      </w:r>
      <w:r w:rsidR="00F83D62" w:rsidRPr="000B31E3">
        <w:rPr>
          <w:rFonts w:ascii="Arial" w:hAnsi="Arial" w:cs="Arial"/>
          <w:color w:val="000000"/>
          <w:sz w:val="24"/>
          <w:szCs w:val="24"/>
        </w:rPr>
        <w:t xml:space="preserve">rom </w:t>
      </w:r>
      <w:r w:rsidRPr="000B31E3">
        <w:rPr>
          <w:rFonts w:ascii="Arial" w:hAnsi="Arial" w:cs="Arial"/>
          <w:color w:val="000000"/>
          <w:sz w:val="24"/>
          <w:szCs w:val="24"/>
        </w:rPr>
        <w:t xml:space="preserve">the Bahamas Education Management Information System. </w:t>
      </w:r>
      <w:r w:rsidR="006C4E51" w:rsidRPr="000B31E3">
        <w:rPr>
          <w:rFonts w:ascii="Arial" w:hAnsi="Arial" w:cs="Arial"/>
          <w:color w:val="000000"/>
          <w:sz w:val="24"/>
          <w:szCs w:val="24"/>
        </w:rPr>
        <w:t>O</w:t>
      </w:r>
      <w:r w:rsidRPr="000B31E3">
        <w:rPr>
          <w:rFonts w:ascii="Arial" w:hAnsi="Arial" w:cs="Arial"/>
          <w:color w:val="000000"/>
          <w:sz w:val="24"/>
          <w:szCs w:val="24"/>
        </w:rPr>
        <w:t xml:space="preserve">fficers from the Prime Minister’s Delivery Unit along with Ministry officials </w:t>
      </w:r>
      <w:r w:rsidR="006C4E51" w:rsidRPr="000B31E3">
        <w:rPr>
          <w:rFonts w:ascii="Arial" w:hAnsi="Arial" w:cs="Arial"/>
          <w:color w:val="000000"/>
          <w:sz w:val="24"/>
          <w:szCs w:val="24"/>
        </w:rPr>
        <w:t>make monthly visits to schools that have been prioritized because of low attendance rates.</w:t>
      </w:r>
      <w:r w:rsidRPr="000B31E3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5C69C7C3" w14:textId="1ADD0851" w:rsidR="00152BB6" w:rsidRPr="000B31E3" w:rsidRDefault="008811AB" w:rsidP="009679A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B31E3">
        <w:rPr>
          <w:rFonts w:ascii="Arial" w:hAnsi="Arial" w:cs="Arial"/>
          <w:color w:val="000000"/>
          <w:sz w:val="24"/>
          <w:szCs w:val="24"/>
        </w:rPr>
        <w:t xml:space="preserve">The Government of the Bahamas has recruited 19 school attendance monitors who operate from Urban Renewal </w:t>
      </w:r>
      <w:proofErr w:type="spellStart"/>
      <w:r w:rsidRPr="000B31E3">
        <w:rPr>
          <w:rFonts w:ascii="Arial" w:hAnsi="Arial" w:cs="Arial"/>
          <w:color w:val="000000"/>
          <w:sz w:val="24"/>
          <w:szCs w:val="24"/>
        </w:rPr>
        <w:t>Centres</w:t>
      </w:r>
      <w:proofErr w:type="spellEnd"/>
      <w:r w:rsidRPr="000B31E3">
        <w:rPr>
          <w:rFonts w:ascii="Arial" w:hAnsi="Arial" w:cs="Arial"/>
          <w:color w:val="000000"/>
          <w:sz w:val="24"/>
          <w:szCs w:val="24"/>
        </w:rPr>
        <w:t xml:space="preserve">. These monitors merge into communities and liaise with schools to identify, locate and bring back missing school-aged children. </w:t>
      </w:r>
    </w:p>
    <w:p w14:paraId="7C20D66D" w14:textId="45169651" w:rsidR="00911CE6" w:rsidRPr="000B31E3" w:rsidRDefault="00E7106E" w:rsidP="009679A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B31E3">
        <w:rPr>
          <w:rFonts w:ascii="Arial" w:hAnsi="Arial" w:cs="Arial"/>
          <w:color w:val="000000"/>
          <w:sz w:val="24"/>
          <w:szCs w:val="24"/>
        </w:rPr>
        <w:t xml:space="preserve">The data </w:t>
      </w:r>
      <w:r w:rsidR="00742036" w:rsidRPr="000B31E3">
        <w:rPr>
          <w:rFonts w:ascii="Arial" w:hAnsi="Arial" w:cs="Arial"/>
          <w:color w:val="000000"/>
          <w:sz w:val="24"/>
          <w:szCs w:val="24"/>
        </w:rPr>
        <w:t>shows</w:t>
      </w:r>
      <w:r w:rsidR="00F83D62" w:rsidRPr="000B31E3">
        <w:rPr>
          <w:rFonts w:ascii="Arial" w:hAnsi="Arial" w:cs="Arial"/>
          <w:color w:val="000000"/>
          <w:sz w:val="24"/>
          <w:szCs w:val="24"/>
        </w:rPr>
        <w:t xml:space="preserve"> that we have moved to a 94% attendance rate. </w:t>
      </w:r>
      <w:r w:rsidR="00C9073D" w:rsidRPr="000B31E3">
        <w:rPr>
          <w:rFonts w:ascii="Arial" w:hAnsi="Arial" w:cs="Arial"/>
          <w:color w:val="000000"/>
          <w:sz w:val="24"/>
          <w:szCs w:val="24"/>
        </w:rPr>
        <w:t xml:space="preserve">We have moved from </w:t>
      </w:r>
      <w:r w:rsidR="00A36E2B" w:rsidRPr="000B31E3">
        <w:rPr>
          <w:rFonts w:ascii="Arial" w:hAnsi="Arial" w:cs="Arial"/>
          <w:color w:val="000000"/>
          <w:sz w:val="24"/>
          <w:szCs w:val="24"/>
        </w:rPr>
        <w:t xml:space="preserve">more than </w:t>
      </w:r>
      <w:r w:rsidR="00E243CE" w:rsidRPr="000B31E3">
        <w:rPr>
          <w:rFonts w:ascii="Arial" w:hAnsi="Arial" w:cs="Arial"/>
          <w:color w:val="000000"/>
          <w:sz w:val="24"/>
          <w:szCs w:val="24"/>
        </w:rPr>
        <w:t>6,811</w:t>
      </w:r>
      <w:r w:rsidR="00A36E2B" w:rsidRPr="000B31E3">
        <w:rPr>
          <w:rFonts w:ascii="Arial" w:hAnsi="Arial" w:cs="Arial"/>
          <w:color w:val="000000"/>
          <w:sz w:val="24"/>
          <w:szCs w:val="24"/>
        </w:rPr>
        <w:t xml:space="preserve"> students missing more than 50% of the school year, to </w:t>
      </w:r>
      <w:r w:rsidR="008D5F27" w:rsidRPr="000B31E3">
        <w:rPr>
          <w:rFonts w:ascii="Arial" w:hAnsi="Arial" w:cs="Arial"/>
          <w:color w:val="000000"/>
          <w:sz w:val="24"/>
          <w:szCs w:val="24"/>
        </w:rPr>
        <w:t xml:space="preserve">now </w:t>
      </w:r>
      <w:r w:rsidR="008230DE" w:rsidRPr="000B31E3">
        <w:rPr>
          <w:rFonts w:ascii="Arial" w:hAnsi="Arial" w:cs="Arial"/>
          <w:color w:val="000000"/>
          <w:sz w:val="24"/>
          <w:szCs w:val="24"/>
        </w:rPr>
        <w:t xml:space="preserve">only </w:t>
      </w:r>
      <w:r w:rsidR="008D5F27" w:rsidRPr="000B31E3">
        <w:rPr>
          <w:rFonts w:ascii="Arial" w:hAnsi="Arial" w:cs="Arial"/>
          <w:color w:val="000000"/>
          <w:sz w:val="24"/>
          <w:szCs w:val="24"/>
        </w:rPr>
        <w:t xml:space="preserve">425 students </w:t>
      </w:r>
      <w:r w:rsidR="00C965A1" w:rsidRPr="000B31E3">
        <w:rPr>
          <w:rFonts w:ascii="Arial" w:hAnsi="Arial" w:cs="Arial"/>
          <w:color w:val="000000"/>
          <w:sz w:val="24"/>
          <w:szCs w:val="24"/>
        </w:rPr>
        <w:t xml:space="preserve">missing more than </w:t>
      </w:r>
      <w:r w:rsidR="00911CE6" w:rsidRPr="000B31E3">
        <w:rPr>
          <w:rFonts w:ascii="Arial" w:hAnsi="Arial" w:cs="Arial"/>
          <w:color w:val="000000"/>
          <w:sz w:val="24"/>
          <w:szCs w:val="24"/>
        </w:rPr>
        <w:t>50 % of the school year.</w:t>
      </w:r>
    </w:p>
    <w:p w14:paraId="6A98C109" w14:textId="28BD443C" w:rsidR="00C413E6" w:rsidRPr="000B31E3" w:rsidRDefault="00F83D62" w:rsidP="009679A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B31E3">
        <w:rPr>
          <w:rFonts w:ascii="Arial" w:hAnsi="Arial" w:cs="Arial"/>
          <w:color w:val="000000"/>
          <w:sz w:val="24"/>
          <w:szCs w:val="24"/>
        </w:rPr>
        <w:t xml:space="preserve">The </w:t>
      </w:r>
      <w:r w:rsidR="00742036" w:rsidRPr="000B31E3">
        <w:rPr>
          <w:rFonts w:ascii="Arial" w:hAnsi="Arial" w:cs="Arial"/>
          <w:color w:val="000000"/>
          <w:sz w:val="24"/>
          <w:szCs w:val="24"/>
        </w:rPr>
        <w:t xml:space="preserve">first round of learning loss </w:t>
      </w:r>
      <w:r w:rsidRPr="000B31E3">
        <w:rPr>
          <w:rFonts w:ascii="Arial" w:hAnsi="Arial" w:cs="Arial"/>
          <w:color w:val="000000"/>
          <w:sz w:val="24"/>
          <w:szCs w:val="24"/>
        </w:rPr>
        <w:t xml:space="preserve">assessment </w:t>
      </w:r>
      <w:r w:rsidR="00742036" w:rsidRPr="000B31E3">
        <w:rPr>
          <w:rFonts w:ascii="Arial" w:hAnsi="Arial" w:cs="Arial"/>
          <w:color w:val="000000"/>
          <w:sz w:val="24"/>
          <w:szCs w:val="24"/>
        </w:rPr>
        <w:t xml:space="preserve">has taken place. Strategies have been developed for addressing the gaps. Education has been prioritized at the highest level of </w:t>
      </w:r>
      <w:r w:rsidR="00742036" w:rsidRPr="000B31E3">
        <w:rPr>
          <w:rFonts w:ascii="Arial" w:hAnsi="Arial" w:cs="Arial"/>
          <w:color w:val="000000"/>
          <w:sz w:val="24"/>
          <w:szCs w:val="24"/>
        </w:rPr>
        <w:lastRenderedPageBreak/>
        <w:t>the Government.</w:t>
      </w:r>
      <w:r w:rsidR="008230DE" w:rsidRPr="000B31E3">
        <w:rPr>
          <w:rFonts w:ascii="Arial" w:hAnsi="Arial" w:cs="Arial"/>
          <w:color w:val="000000"/>
          <w:sz w:val="24"/>
          <w:szCs w:val="24"/>
        </w:rPr>
        <w:t xml:space="preserve">  We will do what is necessary to assure comprehensive access to education.</w:t>
      </w:r>
    </w:p>
    <w:p w14:paraId="0BC09BC9" w14:textId="1934C481" w:rsidR="006C4E51" w:rsidRPr="000B31E3" w:rsidRDefault="006C4E51">
      <w:pPr>
        <w:rPr>
          <w:rFonts w:ascii="Arial" w:hAnsi="Arial" w:cs="Arial"/>
          <w:color w:val="000000"/>
          <w:sz w:val="24"/>
          <w:szCs w:val="24"/>
        </w:rPr>
      </w:pPr>
    </w:p>
    <w:p w14:paraId="22E62CEF" w14:textId="77777777" w:rsidR="00C413E6" w:rsidRPr="00742036" w:rsidRDefault="00C413E6">
      <w:pPr>
        <w:rPr>
          <w:color w:val="000000"/>
          <w:sz w:val="27"/>
          <w:szCs w:val="27"/>
        </w:rPr>
      </w:pPr>
    </w:p>
    <w:sectPr w:rsidR="00C413E6" w:rsidRPr="00742036" w:rsidSect="00AE540A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CA4D0" w14:textId="77777777" w:rsidR="00AE540A" w:rsidRDefault="00AE540A" w:rsidP="00AE540A">
      <w:pPr>
        <w:spacing w:after="0" w:line="240" w:lineRule="auto"/>
      </w:pPr>
      <w:r>
        <w:separator/>
      </w:r>
    </w:p>
  </w:endnote>
  <w:endnote w:type="continuationSeparator" w:id="0">
    <w:p w14:paraId="3E8C461D" w14:textId="77777777" w:rsidR="00AE540A" w:rsidRDefault="00AE540A" w:rsidP="00AE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74511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6462F6" w14:textId="4E87E64C" w:rsidR="00AE540A" w:rsidRDefault="00AE54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1862E5" w14:textId="77777777" w:rsidR="00AE540A" w:rsidRDefault="00AE5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42183" w14:textId="77777777" w:rsidR="00AE540A" w:rsidRDefault="00AE540A" w:rsidP="00AE540A">
      <w:pPr>
        <w:spacing w:after="0" w:line="240" w:lineRule="auto"/>
      </w:pPr>
      <w:r>
        <w:separator/>
      </w:r>
    </w:p>
  </w:footnote>
  <w:footnote w:type="continuationSeparator" w:id="0">
    <w:p w14:paraId="74C89D23" w14:textId="77777777" w:rsidR="00AE540A" w:rsidRDefault="00AE540A" w:rsidP="00AE54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3E6"/>
    <w:rsid w:val="00071038"/>
    <w:rsid w:val="000B31E3"/>
    <w:rsid w:val="00152BB6"/>
    <w:rsid w:val="002014B8"/>
    <w:rsid w:val="003C3CFF"/>
    <w:rsid w:val="005851FB"/>
    <w:rsid w:val="006C4E51"/>
    <w:rsid w:val="006F6858"/>
    <w:rsid w:val="00742036"/>
    <w:rsid w:val="008230DE"/>
    <w:rsid w:val="00832305"/>
    <w:rsid w:val="008811AB"/>
    <w:rsid w:val="008D5F27"/>
    <w:rsid w:val="00911CE6"/>
    <w:rsid w:val="00941374"/>
    <w:rsid w:val="00955B7A"/>
    <w:rsid w:val="009679A5"/>
    <w:rsid w:val="00A36E2B"/>
    <w:rsid w:val="00A6505A"/>
    <w:rsid w:val="00AE540A"/>
    <w:rsid w:val="00BA4218"/>
    <w:rsid w:val="00C413E6"/>
    <w:rsid w:val="00C9073D"/>
    <w:rsid w:val="00C92D92"/>
    <w:rsid w:val="00C965A1"/>
    <w:rsid w:val="00CF6EB8"/>
    <w:rsid w:val="00D450B7"/>
    <w:rsid w:val="00E243CE"/>
    <w:rsid w:val="00E66F62"/>
    <w:rsid w:val="00E7106E"/>
    <w:rsid w:val="00F83D62"/>
    <w:rsid w:val="00F879EC"/>
    <w:rsid w:val="00F967DF"/>
    <w:rsid w:val="00FF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37CFE"/>
  <w15:chartTrackingRefBased/>
  <w15:docId w15:val="{02BD1185-7DC9-4616-BFD8-F11FD88A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0A"/>
  </w:style>
  <w:style w:type="paragraph" w:styleId="Footer">
    <w:name w:val="footer"/>
    <w:basedOn w:val="Normal"/>
    <w:link w:val="FooterChar"/>
    <w:uiPriority w:val="99"/>
    <w:unhideWhenUsed/>
    <w:rsid w:val="00AE5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B62FF4-66CA-4ABB-B09B-9AE343CCE758}"/>
</file>

<file path=customXml/itemProps2.xml><?xml version="1.0" encoding="utf-8"?>
<ds:datastoreItem xmlns:ds="http://schemas.openxmlformats.org/officeDocument/2006/customXml" ds:itemID="{8C6A2D43-789C-4075-B118-AFB502597D16}"/>
</file>

<file path=customXml/itemProps3.xml><?xml version="1.0" encoding="utf-8"?>
<ds:datastoreItem xmlns:ds="http://schemas.openxmlformats.org/officeDocument/2006/customXml" ds:itemID="{27E7E586-D8BA-4680-BB6F-721E23C374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Sharmaine Sinclair</dc:creator>
  <cp:keywords/>
  <dc:description/>
  <cp:lastModifiedBy>S Dixon</cp:lastModifiedBy>
  <cp:revision>8</cp:revision>
  <dcterms:created xsi:type="dcterms:W3CDTF">2023-05-03T09:40:00Z</dcterms:created>
  <dcterms:modified xsi:type="dcterms:W3CDTF">2023-05-03T09:41:00Z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