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8D50" w14:textId="77777777" w:rsidR="000C2C3E" w:rsidRDefault="000C2C3E" w:rsidP="00296E2C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7D06F64D" w14:textId="77777777" w:rsidR="000C2C3E" w:rsidRDefault="000C2C3E" w:rsidP="00296E2C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6E4FDD73" w14:textId="77777777" w:rsidR="000C2C3E" w:rsidRDefault="000C2C3E" w:rsidP="00296E2C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589FEBF0" w14:textId="0E74FFF2" w:rsidR="00296E2C" w:rsidRDefault="00296E2C" w:rsidP="000C2C3E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Consejo de Derechos Humanos</w:t>
      </w:r>
    </w:p>
    <w:p w14:paraId="398BAF4C" w14:textId="77777777" w:rsidR="000C2C3E" w:rsidRPr="00311975" w:rsidRDefault="000C2C3E" w:rsidP="000C2C3E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0A2B3F8A" w14:textId="77777777" w:rsidR="00296E2C" w:rsidRPr="00311975" w:rsidRDefault="00296E2C" w:rsidP="000C2C3E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42</w:t>
      </w:r>
      <w:r w:rsidRPr="00311975">
        <w:rPr>
          <w:rFonts w:ascii="Courier New" w:hAnsi="Courier New" w:cs="Courier New"/>
          <w:b/>
          <w:sz w:val="26"/>
          <w:szCs w:val="26"/>
          <w:lang w:val="es-ES"/>
        </w:rPr>
        <w:t>º</w:t>
      </w:r>
      <w:r w:rsidRPr="00311975">
        <w:rPr>
          <w:rFonts w:ascii="Artifex CF" w:hAnsi="Artifex CF"/>
          <w:b/>
          <w:sz w:val="26"/>
          <w:szCs w:val="26"/>
          <w:lang w:val="es-ES"/>
        </w:rPr>
        <w:t xml:space="preserve"> Sesi</w:t>
      </w:r>
      <w:r w:rsidRPr="00311975">
        <w:rPr>
          <w:rFonts w:ascii="Artifex CF" w:hAnsi="Artifex CF" w:cs="Artifex CF"/>
          <w:b/>
          <w:sz w:val="26"/>
          <w:szCs w:val="26"/>
          <w:lang w:val="es-ES"/>
        </w:rPr>
        <w:t>ó</w:t>
      </w:r>
      <w:r w:rsidRPr="00311975">
        <w:rPr>
          <w:rFonts w:ascii="Artifex CF" w:hAnsi="Artifex CF"/>
          <w:b/>
          <w:sz w:val="26"/>
          <w:szCs w:val="26"/>
          <w:lang w:val="es-ES"/>
        </w:rPr>
        <w:t>n del Grupo de Trabajo del Examen Peri</w:t>
      </w:r>
      <w:r w:rsidRPr="00311975">
        <w:rPr>
          <w:rFonts w:ascii="Artifex CF" w:hAnsi="Artifex CF" w:cs="Artifex CF"/>
          <w:b/>
          <w:sz w:val="26"/>
          <w:szCs w:val="26"/>
          <w:lang w:val="es-ES"/>
        </w:rPr>
        <w:t>ó</w:t>
      </w:r>
      <w:r w:rsidRPr="00311975">
        <w:rPr>
          <w:rFonts w:ascii="Artifex CF" w:hAnsi="Artifex CF"/>
          <w:b/>
          <w:sz w:val="26"/>
          <w:szCs w:val="26"/>
          <w:lang w:val="es-ES"/>
        </w:rPr>
        <w:t>dico Universal</w:t>
      </w:r>
    </w:p>
    <w:p w14:paraId="38315372" w14:textId="11FC1316" w:rsidR="00296E2C" w:rsidRPr="00311975" w:rsidRDefault="00296E2C" w:rsidP="000C2C3E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Examen Periódico Universal de la República de Benín</w:t>
      </w:r>
    </w:p>
    <w:p w14:paraId="5B047DB5" w14:textId="0F1CC821" w:rsidR="00296E2C" w:rsidRPr="00311975" w:rsidRDefault="00296E2C" w:rsidP="000C2C3E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Jueves 26 de enero, 2023/ 9h00pm-12h30pm</w:t>
      </w:r>
    </w:p>
    <w:p w14:paraId="56577ACB" w14:textId="77777777" w:rsidR="00296E2C" w:rsidRPr="00311975" w:rsidRDefault="00296E2C" w:rsidP="000C2C3E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Intervención de la República Dominicana</w:t>
      </w:r>
    </w:p>
    <w:p w14:paraId="750EA91E" w14:textId="77777777" w:rsidR="00296E2C" w:rsidRPr="00311975" w:rsidRDefault="00296E2C" w:rsidP="000C2C3E">
      <w:pPr>
        <w:jc w:val="center"/>
        <w:rPr>
          <w:lang w:val="es-ES"/>
        </w:rPr>
      </w:pPr>
    </w:p>
    <w:p w14:paraId="6DDEFBE4" w14:textId="77777777" w:rsidR="00163BD8" w:rsidRPr="00163BD8" w:rsidRDefault="00163BD8" w:rsidP="00296E2C">
      <w:pPr>
        <w:jc w:val="both"/>
        <w:rPr>
          <w:sz w:val="28"/>
          <w:szCs w:val="28"/>
          <w:lang w:val="es-ES"/>
        </w:rPr>
      </w:pPr>
    </w:p>
    <w:p w14:paraId="4E7AC8E7" w14:textId="64663E7A" w:rsidR="00296E2C" w:rsidRPr="00163BD8" w:rsidRDefault="00296E2C" w:rsidP="00296E2C">
      <w:pPr>
        <w:jc w:val="both"/>
        <w:rPr>
          <w:b/>
          <w:sz w:val="28"/>
          <w:szCs w:val="28"/>
          <w:lang w:val="es-ES"/>
        </w:rPr>
      </w:pPr>
      <w:r w:rsidRPr="00163BD8">
        <w:rPr>
          <w:sz w:val="28"/>
          <w:szCs w:val="28"/>
          <w:lang w:val="es-ES"/>
        </w:rPr>
        <w:t xml:space="preserve">Gracias Sra.  </w:t>
      </w:r>
      <w:r w:rsidR="000C2C3E" w:rsidRPr="00163BD8">
        <w:rPr>
          <w:sz w:val="28"/>
          <w:szCs w:val="28"/>
          <w:lang w:val="es-ES"/>
        </w:rPr>
        <w:t>Vicepresidenta</w:t>
      </w:r>
      <w:r w:rsidRPr="00163BD8">
        <w:rPr>
          <w:sz w:val="28"/>
          <w:szCs w:val="28"/>
          <w:lang w:val="es-ES"/>
        </w:rPr>
        <w:t>;</w:t>
      </w:r>
    </w:p>
    <w:p w14:paraId="577A1A10" w14:textId="77777777" w:rsidR="00296E2C" w:rsidRPr="00163BD8" w:rsidRDefault="00296E2C" w:rsidP="00296E2C">
      <w:pPr>
        <w:jc w:val="both"/>
        <w:rPr>
          <w:sz w:val="28"/>
          <w:szCs w:val="28"/>
          <w:lang w:val="es-ES"/>
        </w:rPr>
      </w:pPr>
    </w:p>
    <w:p w14:paraId="0246B0FB" w14:textId="70CBF024" w:rsidR="00296E2C" w:rsidRPr="00163BD8" w:rsidRDefault="00296E2C" w:rsidP="00296E2C">
      <w:pPr>
        <w:jc w:val="both"/>
        <w:rPr>
          <w:sz w:val="28"/>
          <w:szCs w:val="28"/>
          <w:lang w:val="es-ES"/>
        </w:rPr>
      </w:pPr>
      <w:r w:rsidRPr="00163BD8">
        <w:rPr>
          <w:sz w:val="28"/>
          <w:szCs w:val="28"/>
          <w:lang w:val="es-ES"/>
        </w:rPr>
        <w:t xml:space="preserve">La </w:t>
      </w:r>
      <w:r w:rsidR="00163BD8" w:rsidRPr="00163BD8">
        <w:rPr>
          <w:sz w:val="28"/>
          <w:szCs w:val="28"/>
          <w:lang w:val="es-ES"/>
        </w:rPr>
        <w:t>Rep</w:t>
      </w:r>
      <w:r w:rsidR="000C2C3E">
        <w:rPr>
          <w:sz w:val="28"/>
          <w:szCs w:val="28"/>
          <w:lang w:val="es-ES"/>
        </w:rPr>
        <w:t>ú</w:t>
      </w:r>
      <w:r w:rsidR="00163BD8" w:rsidRPr="00163BD8">
        <w:rPr>
          <w:sz w:val="28"/>
          <w:szCs w:val="28"/>
          <w:lang w:val="es-ES"/>
        </w:rPr>
        <w:t>blica D</w:t>
      </w:r>
      <w:r w:rsidRPr="00163BD8">
        <w:rPr>
          <w:sz w:val="28"/>
          <w:szCs w:val="28"/>
          <w:lang w:val="es-ES"/>
        </w:rPr>
        <w:t xml:space="preserve">ominicana saluda a la delegación de la República de Benín y le agradece la presentación de su informe nacional. </w:t>
      </w:r>
    </w:p>
    <w:p w14:paraId="6D004680" w14:textId="77777777" w:rsidR="00296E2C" w:rsidRPr="00163BD8" w:rsidRDefault="00296E2C" w:rsidP="00296E2C">
      <w:pPr>
        <w:jc w:val="both"/>
        <w:rPr>
          <w:sz w:val="28"/>
          <w:szCs w:val="28"/>
          <w:lang w:val="es-ES"/>
        </w:rPr>
      </w:pPr>
    </w:p>
    <w:p w14:paraId="3E9D9AFB" w14:textId="3A41F7B0" w:rsidR="00296E2C" w:rsidRPr="00163BD8" w:rsidRDefault="00163BD8" w:rsidP="00296E2C">
      <w:pPr>
        <w:pStyle w:val="ListParagraph"/>
        <w:jc w:val="both"/>
        <w:rPr>
          <w:b/>
          <w:bCs/>
          <w:sz w:val="28"/>
          <w:szCs w:val="28"/>
          <w:lang w:val="es-ES"/>
        </w:rPr>
      </w:pPr>
      <w:r w:rsidRPr="00163BD8">
        <w:rPr>
          <w:b/>
          <w:bCs/>
          <w:sz w:val="28"/>
          <w:szCs w:val="28"/>
          <w:lang w:val="es-ES"/>
        </w:rPr>
        <w:t xml:space="preserve">Respetuosamente, en un espíritu constructivo </w:t>
      </w:r>
      <w:r w:rsidR="00296E2C" w:rsidRPr="00163BD8">
        <w:rPr>
          <w:b/>
          <w:bCs/>
          <w:sz w:val="28"/>
          <w:szCs w:val="28"/>
          <w:lang w:val="es-ES"/>
        </w:rPr>
        <w:t>recomendamos:</w:t>
      </w:r>
    </w:p>
    <w:p w14:paraId="56FA0B6F" w14:textId="77777777" w:rsidR="00163BD8" w:rsidRPr="00163BD8" w:rsidRDefault="00163BD8" w:rsidP="00296E2C">
      <w:pPr>
        <w:pStyle w:val="ListParagraph"/>
        <w:jc w:val="both"/>
        <w:rPr>
          <w:b/>
          <w:bCs/>
          <w:sz w:val="28"/>
          <w:szCs w:val="28"/>
          <w:lang w:val="es-ES"/>
        </w:rPr>
      </w:pPr>
    </w:p>
    <w:p w14:paraId="3F4F711E" w14:textId="77777777" w:rsidR="00296E2C" w:rsidRPr="00163BD8" w:rsidRDefault="00296E2C" w:rsidP="00296E2C">
      <w:pPr>
        <w:jc w:val="both"/>
        <w:rPr>
          <w:sz w:val="28"/>
          <w:szCs w:val="28"/>
          <w:lang w:val="es-ES"/>
        </w:rPr>
      </w:pPr>
    </w:p>
    <w:p w14:paraId="52CD437A" w14:textId="0D546E41" w:rsidR="00163BD8" w:rsidRPr="00163BD8" w:rsidRDefault="00163BD8" w:rsidP="00163BD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163BD8">
        <w:rPr>
          <w:sz w:val="28"/>
          <w:szCs w:val="28"/>
          <w:lang w:val="es-ES"/>
        </w:rPr>
        <w:t xml:space="preserve">Proseguir los esfuerzos para garantizar la adopción de medidas eficaces de lucha contra la trata de personas, a través de la adopción de una política y un plan de acción nacional destinados a combatir el delito. </w:t>
      </w:r>
    </w:p>
    <w:p w14:paraId="7B166BF5" w14:textId="77777777" w:rsidR="00163BD8" w:rsidRPr="00163BD8" w:rsidRDefault="00163BD8" w:rsidP="00163BD8">
      <w:pPr>
        <w:pStyle w:val="ListParagraph"/>
        <w:ind w:left="1080"/>
        <w:jc w:val="both"/>
        <w:rPr>
          <w:sz w:val="28"/>
          <w:szCs w:val="28"/>
          <w:lang w:val="es-ES"/>
        </w:rPr>
      </w:pPr>
    </w:p>
    <w:p w14:paraId="65B34EE2" w14:textId="6E2B94FC" w:rsidR="00296E2C" w:rsidRPr="00163BD8" w:rsidRDefault="00163BD8" w:rsidP="00296E2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163BD8">
        <w:rPr>
          <w:sz w:val="28"/>
          <w:szCs w:val="28"/>
          <w:lang w:val="es-ES"/>
        </w:rPr>
        <w:t>Aplaudimos la puesta en marcha del Código del Ni</w:t>
      </w:r>
      <w:r w:rsidRPr="00163BD8">
        <w:rPr>
          <w:sz w:val="28"/>
          <w:szCs w:val="28"/>
          <w:lang w:val="es-ES"/>
        </w:rPr>
        <w:t>ñ</w:t>
      </w:r>
      <w:r w:rsidRPr="00163BD8">
        <w:rPr>
          <w:sz w:val="28"/>
          <w:szCs w:val="28"/>
          <w:lang w:val="es-ES"/>
        </w:rPr>
        <w:t>o y recomendamos continuar con los esfuerzos para erradicar el trabajo infantil, la violencia, el matrimonio precoz y el castigo corporal y las condiciones de detención de los menores</w:t>
      </w:r>
    </w:p>
    <w:p w14:paraId="61915BE6" w14:textId="77777777" w:rsidR="00163BD8" w:rsidRPr="00163BD8" w:rsidRDefault="00163BD8" w:rsidP="00163BD8">
      <w:pPr>
        <w:jc w:val="both"/>
        <w:rPr>
          <w:sz w:val="28"/>
          <w:szCs w:val="28"/>
          <w:lang w:val="es-ES"/>
        </w:rPr>
      </w:pPr>
    </w:p>
    <w:p w14:paraId="2AE61CC7" w14:textId="42366D65" w:rsidR="00296E2C" w:rsidRPr="00163BD8" w:rsidRDefault="00722ABB" w:rsidP="00296E2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Por último, que se sirva</w:t>
      </w:r>
      <w:r w:rsidR="00296E2C" w:rsidRPr="00163BD8">
        <w:rPr>
          <w:sz w:val="28"/>
          <w:szCs w:val="28"/>
          <w:lang w:val="es-ES"/>
        </w:rPr>
        <w:t xml:space="preserve"> del presente ciclo del Examen Periódico Universal para generar datos que puedan apoyar la aplicación</w:t>
      </w:r>
      <w:r w:rsidR="00163BD8" w:rsidRPr="00163BD8">
        <w:rPr>
          <w:sz w:val="28"/>
          <w:szCs w:val="28"/>
          <w:lang w:val="es-ES"/>
        </w:rPr>
        <w:t xml:space="preserve"> </w:t>
      </w:r>
      <w:r w:rsidR="00296E2C" w:rsidRPr="00163BD8">
        <w:rPr>
          <w:sz w:val="28"/>
          <w:szCs w:val="28"/>
          <w:lang w:val="es-ES"/>
        </w:rPr>
        <w:t>de los Objetivos de Desarrollo Sostenible como los derechos humanos, incluidos los derechos de los niños, las mujeres, los albinos, las personas con discapacidad y los inmigrantes.</w:t>
      </w:r>
    </w:p>
    <w:p w14:paraId="30799898" w14:textId="77777777" w:rsidR="00296E2C" w:rsidRPr="00722ABB" w:rsidRDefault="00296E2C" w:rsidP="00722ABB">
      <w:pPr>
        <w:rPr>
          <w:sz w:val="28"/>
          <w:szCs w:val="28"/>
          <w:lang w:val="es-ES"/>
        </w:rPr>
      </w:pPr>
    </w:p>
    <w:p w14:paraId="7CBC6FF2" w14:textId="2130AE79" w:rsidR="00296E2C" w:rsidRPr="00163BD8" w:rsidRDefault="00296E2C" w:rsidP="00296E2C">
      <w:pPr>
        <w:jc w:val="both"/>
        <w:rPr>
          <w:sz w:val="28"/>
          <w:szCs w:val="28"/>
          <w:lang w:val="es-ES"/>
        </w:rPr>
      </w:pPr>
      <w:r w:rsidRPr="00163BD8">
        <w:rPr>
          <w:sz w:val="28"/>
          <w:szCs w:val="28"/>
          <w:lang w:val="es-ES"/>
        </w:rPr>
        <w:t xml:space="preserve">La República Dominicana se complace en felicitar a Benín por la ratificación de la </w:t>
      </w:r>
      <w:r w:rsidR="00DC3A2D">
        <w:rPr>
          <w:sz w:val="28"/>
          <w:szCs w:val="28"/>
          <w:lang w:val="es-ES"/>
        </w:rPr>
        <w:t>C</w:t>
      </w:r>
      <w:r w:rsidRPr="00163BD8">
        <w:rPr>
          <w:sz w:val="28"/>
          <w:szCs w:val="28"/>
          <w:lang w:val="es-ES"/>
        </w:rPr>
        <w:t xml:space="preserve">onvención contra la </w:t>
      </w:r>
      <w:r w:rsidR="00DC3A2D">
        <w:rPr>
          <w:sz w:val="28"/>
          <w:szCs w:val="28"/>
          <w:lang w:val="es-ES"/>
        </w:rPr>
        <w:t>T</w:t>
      </w:r>
      <w:r w:rsidRPr="00163BD8">
        <w:rPr>
          <w:sz w:val="28"/>
          <w:szCs w:val="28"/>
          <w:lang w:val="es-ES"/>
        </w:rPr>
        <w:t xml:space="preserve">ortura, así como su protocolo facultativo y la abolición de la pena de muerte. </w:t>
      </w:r>
    </w:p>
    <w:p w14:paraId="1A7D1493" w14:textId="77777777" w:rsidR="00296E2C" w:rsidRPr="00163BD8" w:rsidRDefault="00296E2C" w:rsidP="00296E2C">
      <w:pPr>
        <w:jc w:val="both"/>
        <w:rPr>
          <w:sz w:val="28"/>
          <w:szCs w:val="28"/>
          <w:lang w:val="es-ES"/>
        </w:rPr>
      </w:pPr>
    </w:p>
    <w:p w14:paraId="641F9CF5" w14:textId="2D290A4E" w:rsidR="00296E2C" w:rsidRPr="00163BD8" w:rsidRDefault="00296E2C" w:rsidP="00296E2C">
      <w:pPr>
        <w:jc w:val="both"/>
        <w:rPr>
          <w:sz w:val="28"/>
          <w:szCs w:val="28"/>
          <w:lang w:val="es-ES"/>
        </w:rPr>
      </w:pPr>
      <w:r w:rsidRPr="00163BD8">
        <w:rPr>
          <w:sz w:val="28"/>
          <w:szCs w:val="28"/>
          <w:lang w:val="es-ES"/>
        </w:rPr>
        <w:t xml:space="preserve">Le deseamos a Benín un exitoso EPU. </w:t>
      </w:r>
    </w:p>
    <w:p w14:paraId="2BD5618F" w14:textId="77777777" w:rsidR="00296E2C" w:rsidRPr="00163BD8" w:rsidRDefault="00296E2C" w:rsidP="00296E2C">
      <w:pPr>
        <w:jc w:val="both"/>
        <w:rPr>
          <w:sz w:val="28"/>
          <w:szCs w:val="28"/>
          <w:lang w:val="es-ES"/>
        </w:rPr>
      </w:pPr>
    </w:p>
    <w:p w14:paraId="340C7CC6" w14:textId="77777777" w:rsidR="00296E2C" w:rsidRPr="00311975" w:rsidRDefault="00296E2C" w:rsidP="00296E2C">
      <w:pPr>
        <w:pStyle w:val="ListParagraph"/>
        <w:jc w:val="both"/>
        <w:rPr>
          <w:lang w:val="es-ES"/>
        </w:rPr>
      </w:pPr>
    </w:p>
    <w:p w14:paraId="65E0E90C" w14:textId="77777777" w:rsidR="00296E2C" w:rsidRDefault="00296E2C"/>
    <w:sectPr w:rsidR="00296E2C" w:rsidSect="000C2C3E">
      <w:headerReference w:type="default" r:id="rId7"/>
      <w:footerReference w:type="default" r:id="rId8"/>
      <w:pgSz w:w="11906" w:h="16838"/>
      <w:pgMar w:top="1440" w:right="1440" w:bottom="1440" w:left="144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926C" w14:textId="77777777" w:rsidR="00DF3BFE" w:rsidRDefault="00DF3BFE" w:rsidP="000C2C3E">
      <w:r>
        <w:separator/>
      </w:r>
    </w:p>
  </w:endnote>
  <w:endnote w:type="continuationSeparator" w:id="0">
    <w:p w14:paraId="7AC6725D" w14:textId="77777777" w:rsidR="00DF3BFE" w:rsidRDefault="00DF3BFE" w:rsidP="000C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ifex CF">
    <w:altName w:val="Cambria"/>
    <w:panose1 w:val="020B0604020202020204"/>
    <w:charset w:val="00"/>
    <w:family w:val="moder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9AEA" w14:textId="77777777" w:rsidR="000C2C3E" w:rsidRDefault="000C2C3E" w:rsidP="000C2C3E">
    <w:pPr>
      <w:pStyle w:val="Footer"/>
      <w:tabs>
        <w:tab w:val="right" w:pos="9340"/>
      </w:tabs>
      <w:jc w:val="center"/>
      <w:rPr>
        <w:color w:val="2E74B5"/>
        <w:u w:color="2E74B5"/>
      </w:rPr>
    </w:pPr>
    <w:r>
      <w:rPr>
        <w:noProof/>
        <w:color w:val="4472C4"/>
        <w:sz w:val="16"/>
        <w:szCs w:val="16"/>
        <w:u w:color="4472C4"/>
      </w:rPr>
      <w:drawing>
        <wp:inline distT="0" distB="0" distL="0" distR="0" wp14:anchorId="421BE985" wp14:editId="43DA5FE5">
          <wp:extent cx="809625" cy="328910"/>
          <wp:effectExtent l="0" t="0" r="0" b="0"/>
          <wp:docPr id="1073741826" name="officeArt object" descr="\\gvafs\home$\wolivero\Desktop\WENDY\Asuntos Varios\Cupula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\\gvafs\home$\wolivero\Desktop\WENDY\Asuntos Varios\Cupula2.png" descr="\\gvafs\home$\wolivero\Desktop\WENDY\Asuntos Varios\Cupula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328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A56BDD5" w14:textId="77777777" w:rsidR="000C2C3E" w:rsidRDefault="000C2C3E" w:rsidP="000C2C3E">
    <w:pPr>
      <w:pStyle w:val="Footer"/>
      <w:tabs>
        <w:tab w:val="right" w:pos="9340"/>
      </w:tabs>
      <w:jc w:val="center"/>
      <w:rPr>
        <w:color w:val="4472C4"/>
        <w:sz w:val="16"/>
        <w:szCs w:val="16"/>
        <w:u w:color="4472C4"/>
      </w:rPr>
    </w:pPr>
    <w:r>
      <w:rPr>
        <w:color w:val="4472C4"/>
        <w:sz w:val="16"/>
        <w:szCs w:val="16"/>
        <w:u w:color="4472C4"/>
      </w:rPr>
      <w:t>63 Rue de Lausanne, 1202, Ginebra, Suiza</w:t>
    </w:r>
  </w:p>
  <w:p w14:paraId="3CBD380C" w14:textId="77777777" w:rsidR="000C2C3E" w:rsidRDefault="000C2C3E" w:rsidP="000C2C3E">
    <w:pPr>
      <w:pStyle w:val="Footer"/>
      <w:tabs>
        <w:tab w:val="right" w:pos="9340"/>
      </w:tabs>
      <w:jc w:val="center"/>
    </w:pPr>
    <w:r>
      <w:rPr>
        <w:color w:val="4472C4"/>
        <w:sz w:val="16"/>
        <w:szCs w:val="16"/>
        <w:u w:color="4472C4"/>
      </w:rPr>
      <w:t xml:space="preserve">Teléfono: +41 22 715 3910  Fax: +41 22 741 0590  Correo Electrónico: </w:t>
    </w:r>
    <w:hyperlink r:id="rId2" w:history="1">
      <w:r>
        <w:rPr>
          <w:rStyle w:val="Hyperlink0"/>
        </w:rPr>
        <w:t>onug@mirex.gob.do</w:t>
      </w:r>
    </w:hyperlink>
  </w:p>
  <w:p w14:paraId="047FA90B" w14:textId="77777777" w:rsidR="000C2C3E" w:rsidRDefault="000C2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734D" w14:textId="77777777" w:rsidR="00DF3BFE" w:rsidRDefault="00DF3BFE" w:rsidP="000C2C3E">
      <w:r>
        <w:separator/>
      </w:r>
    </w:p>
  </w:footnote>
  <w:footnote w:type="continuationSeparator" w:id="0">
    <w:p w14:paraId="764E7D5D" w14:textId="77777777" w:rsidR="00DF3BFE" w:rsidRDefault="00DF3BFE" w:rsidP="000C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6998" w14:textId="03759E19" w:rsidR="000C2C3E" w:rsidRDefault="000C2C3E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23ED077" wp14:editId="34309A67">
          <wp:simplePos x="0" y="0"/>
          <wp:positionH relativeFrom="page">
            <wp:posOffset>-215153</wp:posOffset>
          </wp:positionH>
          <wp:positionV relativeFrom="page">
            <wp:posOffset>-277196</wp:posOffset>
          </wp:positionV>
          <wp:extent cx="7693394" cy="147079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3394" cy="1470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82FBE"/>
    <w:multiLevelType w:val="hybridMultilevel"/>
    <w:tmpl w:val="F386E8C8"/>
    <w:lvl w:ilvl="0" w:tplc="AF0E3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878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2C"/>
    <w:rsid w:val="000C2C3E"/>
    <w:rsid w:val="00163BD8"/>
    <w:rsid w:val="00296E2C"/>
    <w:rsid w:val="00370BE5"/>
    <w:rsid w:val="00722ABB"/>
    <w:rsid w:val="00DC3A2D"/>
    <w:rsid w:val="00D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CBFAA"/>
  <w15:chartTrackingRefBased/>
  <w15:docId w15:val="{353E1CD9-44A7-CA49-AD50-A558DE11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2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2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C2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3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0C2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2C3E"/>
    <w:rPr>
      <w:rFonts w:ascii="Times New Roman" w:eastAsia="Times New Roman" w:hAnsi="Times New Roman" w:cs="Times New Roman"/>
      <w:lang w:eastAsia="en-GB"/>
    </w:rPr>
  </w:style>
  <w:style w:type="character" w:customStyle="1" w:styleId="Hyperlink0">
    <w:name w:val="Hyperlink.0"/>
    <w:basedOn w:val="DefaultParagraphFont"/>
    <w:rsid w:val="000C2C3E"/>
    <w:rPr>
      <w:rFonts w:ascii="Calibri" w:eastAsia="Calibri" w:hAnsi="Calibri" w:cs="Calibri"/>
      <w:color w:val="4472C4"/>
      <w:sz w:val="16"/>
      <w:szCs w:val="16"/>
      <w:u w:val="single" w:color="4472C4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nug@mirex.gob.d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3CA0A-467F-4226-862C-ED7C8C99AB6F}"/>
</file>

<file path=customXml/itemProps2.xml><?xml version="1.0" encoding="utf-8"?>
<ds:datastoreItem xmlns:ds="http://schemas.openxmlformats.org/officeDocument/2006/customXml" ds:itemID="{EDF01AF5-E5B9-4FE9-99C8-C9CA0E668FD2}"/>
</file>

<file path=customXml/itemProps3.xml><?xml version="1.0" encoding="utf-8"?>
<ds:datastoreItem xmlns:ds="http://schemas.openxmlformats.org/officeDocument/2006/customXml" ds:itemID="{8051A2F1-1674-4D66-A26F-5DE7FC9BE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alfonsina Gonzalez Nicasio</dc:creator>
  <cp:keywords/>
  <dc:description/>
  <cp:lastModifiedBy>alfonsina Gonzalez Nicasio</cp:lastModifiedBy>
  <cp:revision>3</cp:revision>
  <dcterms:created xsi:type="dcterms:W3CDTF">2023-01-26T10:06:00Z</dcterms:created>
  <dcterms:modified xsi:type="dcterms:W3CDTF">2023-01-26T10:15:00Z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