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6648C" w14:textId="77777777" w:rsidR="00DF39BA" w:rsidRDefault="00DF39BA" w:rsidP="00DF39BA">
      <w:pPr>
        <w:jc w:val="center"/>
        <w:rPr>
          <w:rFonts w:ascii="Artifex CF" w:hAnsi="Artifex CF"/>
          <w:b/>
          <w:sz w:val="26"/>
          <w:szCs w:val="26"/>
          <w:lang w:val="es-ES"/>
        </w:rPr>
      </w:pPr>
    </w:p>
    <w:p w14:paraId="112C1A9D" w14:textId="52EB551F" w:rsidR="00DF39BA" w:rsidRDefault="00DF39BA" w:rsidP="00DF39BA">
      <w:pPr>
        <w:jc w:val="center"/>
        <w:rPr>
          <w:rFonts w:ascii="Artifex CF" w:hAnsi="Artifex CF"/>
          <w:b/>
          <w:sz w:val="26"/>
          <w:szCs w:val="26"/>
          <w:lang w:val="es-ES"/>
        </w:rPr>
      </w:pPr>
    </w:p>
    <w:p w14:paraId="292D77C8" w14:textId="77777777" w:rsidR="000D7B22" w:rsidRDefault="000D7B22" w:rsidP="00DF39BA">
      <w:pPr>
        <w:jc w:val="center"/>
        <w:rPr>
          <w:rFonts w:ascii="Artifex CF" w:hAnsi="Artifex CF"/>
          <w:b/>
          <w:sz w:val="26"/>
          <w:szCs w:val="26"/>
          <w:lang w:val="es-ES"/>
        </w:rPr>
      </w:pPr>
    </w:p>
    <w:p w14:paraId="6405C503" w14:textId="77777777" w:rsidR="00DF39BA" w:rsidRPr="00311975" w:rsidRDefault="00DF39BA" w:rsidP="00DF39BA">
      <w:pPr>
        <w:jc w:val="center"/>
        <w:rPr>
          <w:rFonts w:ascii="Artifex CF" w:hAnsi="Artifex CF"/>
          <w:b/>
          <w:sz w:val="26"/>
          <w:szCs w:val="26"/>
          <w:lang w:val="es-ES"/>
        </w:rPr>
      </w:pPr>
      <w:r w:rsidRPr="00311975">
        <w:rPr>
          <w:rFonts w:ascii="Artifex CF" w:hAnsi="Artifex CF"/>
          <w:b/>
          <w:sz w:val="26"/>
          <w:szCs w:val="26"/>
          <w:lang w:val="es-ES"/>
        </w:rPr>
        <w:t>Consejo de Derechos Humanos</w:t>
      </w:r>
    </w:p>
    <w:p w14:paraId="4C63E4F9" w14:textId="77777777" w:rsidR="00DF39BA" w:rsidRPr="00311975" w:rsidRDefault="00DF39BA" w:rsidP="00DF39BA">
      <w:pPr>
        <w:jc w:val="center"/>
        <w:rPr>
          <w:rFonts w:ascii="Artifex CF" w:hAnsi="Artifex CF"/>
          <w:b/>
          <w:sz w:val="26"/>
          <w:szCs w:val="26"/>
          <w:lang w:val="es-ES"/>
        </w:rPr>
      </w:pPr>
      <w:r w:rsidRPr="00311975">
        <w:rPr>
          <w:rFonts w:ascii="Artifex CF" w:hAnsi="Artifex CF"/>
          <w:b/>
          <w:sz w:val="26"/>
          <w:szCs w:val="26"/>
          <w:lang w:val="es-ES"/>
        </w:rPr>
        <w:t>42</w:t>
      </w:r>
      <w:r w:rsidRPr="00311975">
        <w:rPr>
          <w:rFonts w:ascii="Courier New" w:hAnsi="Courier New" w:cs="Courier New"/>
          <w:b/>
          <w:sz w:val="26"/>
          <w:szCs w:val="26"/>
          <w:lang w:val="es-ES"/>
        </w:rPr>
        <w:t>º</w:t>
      </w:r>
      <w:r w:rsidRPr="00311975">
        <w:rPr>
          <w:rFonts w:ascii="Artifex CF" w:hAnsi="Artifex CF"/>
          <w:b/>
          <w:sz w:val="26"/>
          <w:szCs w:val="26"/>
          <w:lang w:val="es-ES"/>
        </w:rPr>
        <w:t xml:space="preserve"> Sesi</w:t>
      </w:r>
      <w:r w:rsidRPr="00311975">
        <w:rPr>
          <w:rFonts w:ascii="Artifex CF" w:hAnsi="Artifex CF" w:cs="Artifex CF"/>
          <w:b/>
          <w:sz w:val="26"/>
          <w:szCs w:val="26"/>
          <w:lang w:val="es-ES"/>
        </w:rPr>
        <w:t>ó</w:t>
      </w:r>
      <w:r w:rsidRPr="00311975">
        <w:rPr>
          <w:rFonts w:ascii="Artifex CF" w:hAnsi="Artifex CF"/>
          <w:b/>
          <w:sz w:val="26"/>
          <w:szCs w:val="26"/>
          <w:lang w:val="es-ES"/>
        </w:rPr>
        <w:t>n del Grupo de Trabajo del Examen Peri</w:t>
      </w:r>
      <w:r w:rsidRPr="00311975">
        <w:rPr>
          <w:rFonts w:ascii="Artifex CF" w:hAnsi="Artifex CF" w:cs="Artifex CF"/>
          <w:b/>
          <w:sz w:val="26"/>
          <w:szCs w:val="26"/>
          <w:lang w:val="es-ES"/>
        </w:rPr>
        <w:t>ó</w:t>
      </w:r>
      <w:r w:rsidRPr="00311975">
        <w:rPr>
          <w:rFonts w:ascii="Artifex CF" w:hAnsi="Artifex CF"/>
          <w:b/>
          <w:sz w:val="26"/>
          <w:szCs w:val="26"/>
          <w:lang w:val="es-ES"/>
        </w:rPr>
        <w:t>dico Universal</w:t>
      </w:r>
    </w:p>
    <w:p w14:paraId="2F53F8FA" w14:textId="77777777" w:rsidR="00DF39BA" w:rsidRPr="00311975" w:rsidRDefault="00DF39BA" w:rsidP="00DF39BA">
      <w:pPr>
        <w:jc w:val="center"/>
        <w:rPr>
          <w:rFonts w:ascii="Artifex CF" w:hAnsi="Artifex CF"/>
          <w:b/>
          <w:sz w:val="26"/>
          <w:szCs w:val="26"/>
          <w:lang w:val="es-ES"/>
        </w:rPr>
      </w:pPr>
      <w:r w:rsidRPr="00311975">
        <w:rPr>
          <w:rFonts w:ascii="Artifex CF" w:hAnsi="Artifex CF"/>
          <w:b/>
          <w:sz w:val="26"/>
          <w:szCs w:val="26"/>
          <w:lang w:val="es-ES"/>
        </w:rPr>
        <w:t>Examen Periódico Universal de la Rep</w:t>
      </w:r>
      <w:r>
        <w:rPr>
          <w:rFonts w:ascii="Artifex CF" w:hAnsi="Artifex CF"/>
          <w:b/>
          <w:sz w:val="26"/>
          <w:szCs w:val="26"/>
          <w:lang w:val="es-ES"/>
        </w:rPr>
        <w:t>ú</w:t>
      </w:r>
      <w:r w:rsidRPr="00311975">
        <w:rPr>
          <w:rFonts w:ascii="Artifex CF" w:hAnsi="Artifex CF"/>
          <w:b/>
          <w:sz w:val="26"/>
          <w:szCs w:val="26"/>
          <w:lang w:val="es-ES"/>
        </w:rPr>
        <w:t xml:space="preserve">blica de Gabón </w:t>
      </w:r>
    </w:p>
    <w:p w14:paraId="43836477" w14:textId="77777777" w:rsidR="00DF39BA" w:rsidRPr="00311975" w:rsidRDefault="00DF39BA" w:rsidP="00DF39BA">
      <w:pPr>
        <w:jc w:val="center"/>
        <w:rPr>
          <w:rFonts w:ascii="Artifex CF" w:hAnsi="Artifex CF"/>
          <w:b/>
          <w:sz w:val="26"/>
          <w:szCs w:val="26"/>
          <w:lang w:val="es-ES"/>
        </w:rPr>
      </w:pPr>
      <w:r w:rsidRPr="00311975">
        <w:rPr>
          <w:rFonts w:ascii="Artifex CF" w:hAnsi="Artifex CF"/>
          <w:b/>
          <w:sz w:val="26"/>
          <w:szCs w:val="26"/>
          <w:lang w:val="es-ES"/>
        </w:rPr>
        <w:t>Martes 24 de enero, 2023/ 9h00pm-12h30h00pm</w:t>
      </w:r>
    </w:p>
    <w:p w14:paraId="22B1F450" w14:textId="77777777" w:rsidR="00DF39BA" w:rsidRPr="00311975" w:rsidRDefault="00DF39BA" w:rsidP="00DF39BA">
      <w:pPr>
        <w:ind w:left="708" w:firstLine="708"/>
        <w:jc w:val="center"/>
        <w:rPr>
          <w:rFonts w:ascii="Artifex CF" w:hAnsi="Artifex CF"/>
          <w:b/>
          <w:sz w:val="26"/>
          <w:szCs w:val="26"/>
          <w:lang w:val="es-ES"/>
        </w:rPr>
      </w:pPr>
    </w:p>
    <w:p w14:paraId="1FF654B1" w14:textId="77777777" w:rsidR="00DF39BA" w:rsidRPr="00311975" w:rsidRDefault="00DF39BA" w:rsidP="00DF39BA">
      <w:pPr>
        <w:jc w:val="center"/>
        <w:rPr>
          <w:rFonts w:ascii="Artifex CF" w:hAnsi="Artifex CF"/>
          <w:b/>
          <w:sz w:val="26"/>
          <w:szCs w:val="26"/>
          <w:lang w:val="es-ES"/>
        </w:rPr>
      </w:pPr>
      <w:r w:rsidRPr="00311975">
        <w:rPr>
          <w:rFonts w:ascii="Artifex CF" w:hAnsi="Artifex CF"/>
          <w:b/>
          <w:sz w:val="26"/>
          <w:szCs w:val="26"/>
          <w:lang w:val="es-ES"/>
        </w:rPr>
        <w:t>Intervención de la República Dominicana</w:t>
      </w:r>
    </w:p>
    <w:p w14:paraId="481BC38C" w14:textId="77777777" w:rsidR="00DF39BA" w:rsidRPr="00311975" w:rsidRDefault="00DF39BA" w:rsidP="00DF39BA">
      <w:pPr>
        <w:pStyle w:val="ListParagraph"/>
        <w:jc w:val="both"/>
        <w:rPr>
          <w:lang w:val="es-ES"/>
        </w:rPr>
      </w:pPr>
    </w:p>
    <w:p w14:paraId="6C29A301" w14:textId="6790B319" w:rsidR="00DF39BA" w:rsidRPr="00311975" w:rsidRDefault="00DF39BA" w:rsidP="00DF39BA">
      <w:pPr>
        <w:jc w:val="both"/>
        <w:rPr>
          <w:b/>
          <w:lang w:val="es-ES"/>
        </w:rPr>
      </w:pPr>
      <w:r w:rsidRPr="00311975">
        <w:rPr>
          <w:lang w:val="es-ES"/>
        </w:rPr>
        <w:t xml:space="preserve">Gracias Sr. </w:t>
      </w:r>
      <w:proofErr w:type="gramStart"/>
      <w:r w:rsidRPr="00311975">
        <w:rPr>
          <w:lang w:val="es-ES"/>
        </w:rPr>
        <w:t>Presidente</w:t>
      </w:r>
      <w:proofErr w:type="gramEnd"/>
      <w:r w:rsidRPr="00311975">
        <w:rPr>
          <w:lang w:val="es-ES"/>
        </w:rPr>
        <w:t xml:space="preserve"> /</w:t>
      </w:r>
    </w:p>
    <w:p w14:paraId="145F52B4" w14:textId="77777777" w:rsidR="00DF39BA" w:rsidRPr="00311975" w:rsidRDefault="00DF39BA" w:rsidP="00DF39BA">
      <w:pPr>
        <w:jc w:val="both"/>
        <w:rPr>
          <w:lang w:val="es-ES"/>
        </w:rPr>
      </w:pPr>
    </w:p>
    <w:p w14:paraId="27F48840" w14:textId="77777777" w:rsidR="00DF39BA" w:rsidRPr="00311975" w:rsidRDefault="00DF39BA" w:rsidP="00DF39BA">
      <w:pPr>
        <w:jc w:val="both"/>
        <w:rPr>
          <w:lang w:val="es-ES"/>
        </w:rPr>
      </w:pPr>
      <w:r w:rsidRPr="00311975">
        <w:rPr>
          <w:lang w:val="es-ES"/>
        </w:rPr>
        <w:t>La delegación dominicana saluda a la delegación de la República de</w:t>
      </w:r>
      <w:r>
        <w:rPr>
          <w:lang w:val="es-ES"/>
        </w:rPr>
        <w:t xml:space="preserve"> Gabón</w:t>
      </w:r>
      <w:r w:rsidRPr="00311975">
        <w:rPr>
          <w:lang w:val="es-ES"/>
        </w:rPr>
        <w:t xml:space="preserve"> y le agradece la presentación de su informe nacional.</w:t>
      </w:r>
    </w:p>
    <w:p w14:paraId="6B1BD650" w14:textId="77777777" w:rsidR="00DF39BA" w:rsidRPr="00311975" w:rsidRDefault="00DF39BA" w:rsidP="00DF39BA">
      <w:pPr>
        <w:pStyle w:val="ListParagraph"/>
        <w:jc w:val="both"/>
        <w:rPr>
          <w:lang w:val="es-ES"/>
        </w:rPr>
      </w:pPr>
    </w:p>
    <w:p w14:paraId="25F9BDD0" w14:textId="4586C036" w:rsidR="00DF39BA" w:rsidRPr="00311975" w:rsidRDefault="00DF39BA" w:rsidP="00DF39BA">
      <w:pPr>
        <w:pStyle w:val="ListParagraph"/>
        <w:jc w:val="both"/>
        <w:rPr>
          <w:b/>
          <w:bCs/>
          <w:lang w:val="es-ES"/>
        </w:rPr>
      </w:pPr>
      <w:r w:rsidRPr="00311975">
        <w:rPr>
          <w:b/>
          <w:bCs/>
          <w:lang w:val="es-ES"/>
        </w:rPr>
        <w:t xml:space="preserve">Respetuosamente, </w:t>
      </w:r>
      <w:r w:rsidR="003524DE">
        <w:rPr>
          <w:b/>
          <w:bCs/>
          <w:lang w:val="es-ES"/>
        </w:rPr>
        <w:t xml:space="preserve">en un espíritu constructivo le </w:t>
      </w:r>
      <w:r w:rsidRPr="00311975">
        <w:rPr>
          <w:b/>
          <w:bCs/>
          <w:lang w:val="es-ES"/>
        </w:rPr>
        <w:t>recomendamos:</w:t>
      </w:r>
    </w:p>
    <w:p w14:paraId="15D014B7" w14:textId="77777777" w:rsidR="00DF39BA" w:rsidRPr="008C705E" w:rsidRDefault="00DF39BA" w:rsidP="008C705E">
      <w:pPr>
        <w:rPr>
          <w:lang w:val="es-ES"/>
        </w:rPr>
      </w:pPr>
    </w:p>
    <w:p w14:paraId="6AB777F6" w14:textId="2B521B01" w:rsidR="00DF39BA" w:rsidRPr="008C705E" w:rsidRDefault="003524DE" w:rsidP="008C705E">
      <w:pPr>
        <w:pStyle w:val="ListParagraph"/>
        <w:numPr>
          <w:ilvl w:val="0"/>
          <w:numId w:val="1"/>
        </w:numPr>
        <w:jc w:val="both"/>
        <w:rPr>
          <w:lang w:val="es-ES"/>
        </w:rPr>
      </w:pPr>
      <w:r w:rsidRPr="003524DE">
        <w:rPr>
          <w:lang w:val="es-ES"/>
        </w:rPr>
        <w:t xml:space="preserve">En cuanto </w:t>
      </w:r>
      <w:r w:rsidR="008C705E">
        <w:rPr>
          <w:lang w:val="es-ES"/>
        </w:rPr>
        <w:t xml:space="preserve">a la </w:t>
      </w:r>
      <w:r w:rsidRPr="003524DE">
        <w:rPr>
          <w:lang w:val="es-ES"/>
        </w:rPr>
        <w:t xml:space="preserve">lucha contra la trata de personas, la </w:t>
      </w:r>
      <w:r w:rsidR="003852A8" w:rsidRPr="003524DE">
        <w:rPr>
          <w:lang w:val="es-ES"/>
        </w:rPr>
        <w:t>Rep</w:t>
      </w:r>
      <w:r w:rsidR="003852A8">
        <w:rPr>
          <w:lang w:val="es-ES"/>
        </w:rPr>
        <w:t>ú</w:t>
      </w:r>
      <w:r w:rsidR="003852A8" w:rsidRPr="003524DE">
        <w:rPr>
          <w:lang w:val="es-ES"/>
        </w:rPr>
        <w:t>blica</w:t>
      </w:r>
      <w:r w:rsidRPr="003524DE">
        <w:rPr>
          <w:lang w:val="es-ES"/>
        </w:rPr>
        <w:t xml:space="preserve"> Dominicana </w:t>
      </w:r>
      <w:r w:rsidR="008C705E" w:rsidRPr="003524DE">
        <w:rPr>
          <w:lang w:val="es-ES"/>
        </w:rPr>
        <w:t>aplaude la</w:t>
      </w:r>
      <w:r w:rsidRPr="003524DE">
        <w:rPr>
          <w:lang w:val="es-ES"/>
        </w:rPr>
        <w:t xml:space="preserve"> </w:t>
      </w:r>
      <w:r w:rsidR="008C705E" w:rsidRPr="003524DE">
        <w:rPr>
          <w:lang w:val="es-ES"/>
        </w:rPr>
        <w:t>creación</w:t>
      </w:r>
      <w:r w:rsidRPr="003524DE">
        <w:rPr>
          <w:lang w:val="es-ES"/>
        </w:rPr>
        <w:t xml:space="preserve"> por parte del gobierno </w:t>
      </w:r>
      <w:r w:rsidR="008C705E" w:rsidRPr="003524DE">
        <w:rPr>
          <w:lang w:val="es-ES"/>
        </w:rPr>
        <w:t>del Consejo</w:t>
      </w:r>
      <w:r w:rsidRPr="003524DE">
        <w:rPr>
          <w:lang w:val="es-ES"/>
        </w:rPr>
        <w:t xml:space="preserve"> Nacional de </w:t>
      </w:r>
      <w:r w:rsidR="008C705E">
        <w:rPr>
          <w:lang w:val="es-ES"/>
        </w:rPr>
        <w:t xml:space="preserve">la </w:t>
      </w:r>
      <w:r w:rsidRPr="003524DE">
        <w:rPr>
          <w:lang w:val="es-ES"/>
        </w:rPr>
        <w:t xml:space="preserve">Prevención de la Trata de Niños en la República Gabonesa </w:t>
      </w:r>
      <w:r w:rsidR="003852A8">
        <w:rPr>
          <w:lang w:val="es-ES"/>
        </w:rPr>
        <w:t>y recomienda a</w:t>
      </w:r>
      <w:r w:rsidRPr="003524DE">
        <w:rPr>
          <w:lang w:val="es-ES"/>
        </w:rPr>
        <w:t xml:space="preserve"> seguir con los esfuerzos para la creación, la organización y el funcionamiento de una comisión nacional de prevención y lucha contra la trata de personas que aplique el programa nacional existente. </w:t>
      </w:r>
      <w:r w:rsidR="00DF39BA" w:rsidRPr="008C705E">
        <w:rPr>
          <w:lang w:val="es-ES"/>
        </w:rPr>
        <w:t xml:space="preserve"> </w:t>
      </w:r>
    </w:p>
    <w:p w14:paraId="1B81FD26" w14:textId="77777777" w:rsidR="00DF39BA" w:rsidRPr="00311975" w:rsidRDefault="00DF39BA" w:rsidP="00DF39BA">
      <w:pPr>
        <w:pStyle w:val="ListParagraph"/>
        <w:rPr>
          <w:lang w:val="es-ES"/>
        </w:rPr>
      </w:pPr>
    </w:p>
    <w:p w14:paraId="64D95A0B" w14:textId="07E2AF83" w:rsidR="00DF39BA" w:rsidRDefault="00DF39BA" w:rsidP="00DF39BA">
      <w:pPr>
        <w:pStyle w:val="ListParagraph"/>
        <w:numPr>
          <w:ilvl w:val="0"/>
          <w:numId w:val="1"/>
        </w:numPr>
        <w:jc w:val="both"/>
        <w:rPr>
          <w:lang w:val="es-ES"/>
        </w:rPr>
      </w:pPr>
      <w:r w:rsidRPr="00311975">
        <w:rPr>
          <w:lang w:val="es-ES"/>
        </w:rPr>
        <w:t>Agilizar los procedimientos de puesta en marcha y aprobación del proyecto de ley para el correcto funcionamiento de la Comisión Nacional de Derechos Humanos</w:t>
      </w:r>
      <w:r>
        <w:rPr>
          <w:lang w:val="es-ES"/>
        </w:rPr>
        <w:t>,</w:t>
      </w:r>
      <w:r w:rsidRPr="00311975">
        <w:rPr>
          <w:lang w:val="es-ES"/>
        </w:rPr>
        <w:t xml:space="preserve"> la cual existe desde el 2015. </w:t>
      </w:r>
      <w:proofErr w:type="gramStart"/>
      <w:r w:rsidRPr="00311975">
        <w:rPr>
          <w:lang w:val="es-ES"/>
        </w:rPr>
        <w:t>Asegurar</w:t>
      </w:r>
      <w:proofErr w:type="gramEnd"/>
      <w:r w:rsidRPr="00311975">
        <w:rPr>
          <w:lang w:val="es-ES"/>
        </w:rPr>
        <w:t xml:space="preserve"> que dicha Comisión cumpla los principios relativos al estatuto de las instituciones nacionales de promoción y protección de los derechos humanos (Principios de Par</w:t>
      </w:r>
      <w:r>
        <w:rPr>
          <w:lang w:val="es-ES"/>
        </w:rPr>
        <w:t>í</w:t>
      </w:r>
      <w:r w:rsidRPr="00311975">
        <w:rPr>
          <w:lang w:val="es-ES"/>
        </w:rPr>
        <w:t>s) y que la misma se dote de recursos humanos y financieros para que pueda funcionar correcta</w:t>
      </w:r>
      <w:r>
        <w:rPr>
          <w:lang w:val="es-ES"/>
        </w:rPr>
        <w:t xml:space="preserve"> y eficazment</w:t>
      </w:r>
      <w:r w:rsidRPr="00311975">
        <w:rPr>
          <w:lang w:val="es-ES"/>
        </w:rPr>
        <w:t xml:space="preserve">e. </w:t>
      </w:r>
    </w:p>
    <w:p w14:paraId="5F55A8F3" w14:textId="77777777" w:rsidR="003852A8" w:rsidRPr="003852A8" w:rsidRDefault="003852A8" w:rsidP="003852A8">
      <w:pPr>
        <w:pStyle w:val="ListParagraph"/>
        <w:rPr>
          <w:lang w:val="es-ES"/>
        </w:rPr>
      </w:pPr>
    </w:p>
    <w:p w14:paraId="743B13D3" w14:textId="0EA39130" w:rsidR="003852A8" w:rsidRPr="00DF1E7A" w:rsidRDefault="003852A8" w:rsidP="00DF1E7A">
      <w:pPr>
        <w:pStyle w:val="ListParagraph"/>
        <w:numPr>
          <w:ilvl w:val="0"/>
          <w:numId w:val="1"/>
        </w:numPr>
        <w:jc w:val="both"/>
        <w:rPr>
          <w:lang w:val="es-ES"/>
        </w:rPr>
      </w:pPr>
      <w:r w:rsidRPr="00DF1E7A">
        <w:rPr>
          <w:lang w:val="es-ES"/>
        </w:rPr>
        <w:t xml:space="preserve">Continuar con </w:t>
      </w:r>
      <w:r w:rsidR="00DF1E7A" w:rsidRPr="00DF1E7A">
        <w:rPr>
          <w:lang w:val="es-ES"/>
        </w:rPr>
        <w:t>el reforzamiento</w:t>
      </w:r>
      <w:r w:rsidRPr="00DF1E7A">
        <w:rPr>
          <w:lang w:val="es-ES"/>
        </w:rPr>
        <w:t xml:space="preserve"> de</w:t>
      </w:r>
      <w:r w:rsidRPr="00DF1E7A">
        <w:rPr>
          <w:lang w:val="es-ES"/>
        </w:rPr>
        <w:t xml:space="preserve"> la Comisión Nacional de Derechos Humanos y adecuarla a los Principios de </w:t>
      </w:r>
      <w:r w:rsidR="00DF1E7A" w:rsidRPr="00DF1E7A">
        <w:rPr>
          <w:lang w:val="es-ES"/>
        </w:rPr>
        <w:t>París, a</w:t>
      </w:r>
      <w:r w:rsidRPr="00DF1E7A">
        <w:rPr>
          <w:lang w:val="es-ES"/>
        </w:rPr>
        <w:t xml:space="preserve"> </w:t>
      </w:r>
      <w:r w:rsidR="00DF1E7A" w:rsidRPr="00DF1E7A">
        <w:rPr>
          <w:lang w:val="es-ES"/>
        </w:rPr>
        <w:t>través</w:t>
      </w:r>
      <w:r w:rsidRPr="00DF1E7A">
        <w:rPr>
          <w:lang w:val="es-ES"/>
        </w:rPr>
        <w:t xml:space="preserve"> </w:t>
      </w:r>
      <w:r w:rsidR="00DF1E7A" w:rsidRPr="00DF1E7A">
        <w:rPr>
          <w:lang w:val="es-ES"/>
        </w:rPr>
        <w:t>del proceso</w:t>
      </w:r>
      <w:r w:rsidRPr="00DF1E7A">
        <w:rPr>
          <w:lang w:val="es-ES"/>
        </w:rPr>
        <w:t xml:space="preserve"> de modificación de la ley</w:t>
      </w:r>
      <w:r w:rsidR="00DF1E7A" w:rsidRPr="00DF1E7A">
        <w:rPr>
          <w:lang w:val="es-ES"/>
        </w:rPr>
        <w:t xml:space="preserve"> donde se i</w:t>
      </w:r>
      <w:r w:rsidRPr="00DF1E7A">
        <w:rPr>
          <w:lang w:val="es-ES"/>
        </w:rPr>
        <w:t>ncorpora</w:t>
      </w:r>
      <w:r w:rsidR="00DF1E7A" w:rsidRPr="00DF1E7A">
        <w:rPr>
          <w:lang w:val="es-ES"/>
        </w:rPr>
        <w:t>n</w:t>
      </w:r>
      <w:r w:rsidRPr="00DF1E7A">
        <w:rPr>
          <w:lang w:val="es-ES"/>
        </w:rPr>
        <w:t xml:space="preserve"> todos los dictámenes y recomendaciones del Subcomité para la Prevención de la Tortura</w:t>
      </w:r>
      <w:r w:rsidR="00DF1E7A" w:rsidRPr="00DF1E7A">
        <w:rPr>
          <w:lang w:val="es-ES"/>
        </w:rPr>
        <w:t xml:space="preserve"> y </w:t>
      </w:r>
      <w:r w:rsidRPr="00DF1E7A">
        <w:rPr>
          <w:lang w:val="es-ES"/>
        </w:rPr>
        <w:t>de la Asociación para la Prevención de la Tortura y Otros Tratos Inhumanos y Degradantes</w:t>
      </w:r>
    </w:p>
    <w:p w14:paraId="1E73E645" w14:textId="77777777" w:rsidR="003852A8" w:rsidRPr="00DF1E7A" w:rsidRDefault="003852A8" w:rsidP="00DF1E7A">
      <w:pPr>
        <w:pStyle w:val="ListParagraph"/>
        <w:ind w:left="1140"/>
        <w:jc w:val="both"/>
        <w:rPr>
          <w:lang w:val="es-ES"/>
        </w:rPr>
      </w:pPr>
    </w:p>
    <w:p w14:paraId="01603D87" w14:textId="77777777" w:rsidR="00DF39BA" w:rsidRPr="00311975" w:rsidRDefault="00DF39BA" w:rsidP="00DF39BA">
      <w:pPr>
        <w:jc w:val="both"/>
        <w:rPr>
          <w:lang w:val="es-ES"/>
        </w:rPr>
      </w:pPr>
    </w:p>
    <w:p w14:paraId="64251C3D" w14:textId="77777777" w:rsidR="00DF39BA" w:rsidRPr="00311975" w:rsidRDefault="00DF39BA" w:rsidP="00DF39BA">
      <w:pPr>
        <w:jc w:val="both"/>
        <w:rPr>
          <w:lang w:val="es-ES"/>
        </w:rPr>
      </w:pPr>
      <w:r w:rsidRPr="00311975">
        <w:rPr>
          <w:lang w:val="es-ES"/>
        </w:rPr>
        <w:t>La República Dominicana felicita a la Rep</w:t>
      </w:r>
      <w:r>
        <w:rPr>
          <w:lang w:val="es-ES"/>
        </w:rPr>
        <w:t>ú</w:t>
      </w:r>
      <w:r w:rsidRPr="00311975">
        <w:rPr>
          <w:lang w:val="es-ES"/>
        </w:rPr>
        <w:t xml:space="preserve">blica de Gabón por la cooperación con los procedimientos especiales del Consejo de Derechos Humanos, respondiendo a las comunicaciones transmitidas por el Grupo de Trabajo sobre la Detención Arbitraria. Asimismo, reconoce los esfuerzos realizados por el país en mantener vínculos estrechos de cooperación con la Oficina del ACNUDH, por conducto de su oficina regional en Yaundé. </w:t>
      </w:r>
    </w:p>
    <w:p w14:paraId="7EB932D7" w14:textId="77777777" w:rsidR="00DF39BA" w:rsidRPr="00311975" w:rsidRDefault="00DF39BA" w:rsidP="00DF39BA">
      <w:pPr>
        <w:pStyle w:val="ListParagraph"/>
        <w:jc w:val="both"/>
        <w:rPr>
          <w:lang w:val="es-ES"/>
        </w:rPr>
      </w:pPr>
    </w:p>
    <w:p w14:paraId="21E04FE1" w14:textId="77777777" w:rsidR="00DF39BA" w:rsidRPr="00311975" w:rsidRDefault="00DF39BA" w:rsidP="00DF39BA">
      <w:pPr>
        <w:jc w:val="both"/>
        <w:rPr>
          <w:lang w:val="es-ES"/>
        </w:rPr>
      </w:pPr>
      <w:r w:rsidRPr="00311975">
        <w:rPr>
          <w:lang w:val="es-ES"/>
        </w:rPr>
        <w:t xml:space="preserve">Le deseamos a </w:t>
      </w:r>
      <w:r>
        <w:rPr>
          <w:lang w:val="es-ES"/>
        </w:rPr>
        <w:t>Gabón</w:t>
      </w:r>
      <w:r w:rsidRPr="00311975">
        <w:rPr>
          <w:lang w:val="es-ES"/>
        </w:rPr>
        <w:t xml:space="preserve"> un exitoso EPU. </w:t>
      </w:r>
    </w:p>
    <w:p w14:paraId="35652243" w14:textId="77777777" w:rsidR="00DF39BA" w:rsidRPr="00311975" w:rsidRDefault="00DF39BA" w:rsidP="00DF39BA">
      <w:pPr>
        <w:jc w:val="both"/>
        <w:rPr>
          <w:lang w:val="es-ES"/>
        </w:rPr>
      </w:pPr>
    </w:p>
    <w:p w14:paraId="03E02EAC" w14:textId="77777777" w:rsidR="00DF39BA" w:rsidRPr="00311975" w:rsidRDefault="00DF39BA" w:rsidP="00DF39BA">
      <w:pPr>
        <w:pStyle w:val="ListParagraph"/>
        <w:jc w:val="both"/>
        <w:rPr>
          <w:lang w:val="es-ES"/>
        </w:rPr>
      </w:pPr>
    </w:p>
    <w:p w14:paraId="56595F13" w14:textId="77777777" w:rsidR="00DF39BA" w:rsidRDefault="00DF39BA"/>
    <w:sectPr w:rsidR="00DF39BA" w:rsidSect="00DF39BA">
      <w:headerReference w:type="default" r:id="rId7"/>
      <w:footerReference w:type="default" r:id="rId8"/>
      <w:pgSz w:w="11906" w:h="16838"/>
      <w:pgMar w:top="1440" w:right="1440" w:bottom="1440" w:left="1440" w:header="708" w:footer="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50DEE" w14:textId="77777777" w:rsidR="0070759F" w:rsidRDefault="0070759F" w:rsidP="00DF39BA">
      <w:r>
        <w:separator/>
      </w:r>
    </w:p>
  </w:endnote>
  <w:endnote w:type="continuationSeparator" w:id="0">
    <w:p w14:paraId="6E1B5616" w14:textId="77777777" w:rsidR="0070759F" w:rsidRDefault="0070759F" w:rsidP="00DF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tifex CF">
    <w:altName w:val="Cambria"/>
    <w:panose1 w:val="020B0604020202020204"/>
    <w:charset w:val="00"/>
    <w:family w:val="modern"/>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18F26" w14:textId="77777777" w:rsidR="00DF39BA" w:rsidRDefault="00DF39BA" w:rsidP="00DF39BA">
    <w:pPr>
      <w:pStyle w:val="Footer"/>
      <w:tabs>
        <w:tab w:val="right" w:pos="9340"/>
      </w:tabs>
      <w:jc w:val="center"/>
      <w:rPr>
        <w:color w:val="2E74B5"/>
        <w:u w:color="2E74B5"/>
      </w:rPr>
    </w:pPr>
    <w:r>
      <w:rPr>
        <w:noProof/>
        <w:color w:val="4472C4"/>
        <w:sz w:val="16"/>
        <w:szCs w:val="16"/>
        <w:u w:color="4472C4"/>
      </w:rPr>
      <w:drawing>
        <wp:inline distT="0" distB="0" distL="0" distR="0" wp14:anchorId="77506DE8" wp14:editId="63954D86">
          <wp:extent cx="809625" cy="328910"/>
          <wp:effectExtent l="0" t="0" r="0" b="0"/>
          <wp:docPr id="1073741826" name="officeArt object" descr="\\gvafs\home$\wolivero\Desktop\WENDY\Asuntos Varios\Cupula2.png"/>
          <wp:cNvGraphicFramePr/>
          <a:graphic xmlns:a="http://schemas.openxmlformats.org/drawingml/2006/main">
            <a:graphicData uri="http://schemas.openxmlformats.org/drawingml/2006/picture">
              <pic:pic xmlns:pic="http://schemas.openxmlformats.org/drawingml/2006/picture">
                <pic:nvPicPr>
                  <pic:cNvPr id="1073741826" name="\\gvafs\home$\wolivero\Desktop\WENDY\Asuntos Varios\Cupula2.png" descr="\\gvafs\home$\wolivero\Desktop\WENDY\Asuntos Varios\Cupula2.png"/>
                  <pic:cNvPicPr>
                    <a:picLocks noChangeAspect="1"/>
                  </pic:cNvPicPr>
                </pic:nvPicPr>
                <pic:blipFill>
                  <a:blip r:embed="rId1"/>
                  <a:stretch>
                    <a:fillRect/>
                  </a:stretch>
                </pic:blipFill>
                <pic:spPr>
                  <a:xfrm>
                    <a:off x="0" y="0"/>
                    <a:ext cx="809625" cy="328910"/>
                  </a:xfrm>
                  <a:prstGeom prst="rect">
                    <a:avLst/>
                  </a:prstGeom>
                  <a:ln w="12700" cap="flat">
                    <a:noFill/>
                    <a:miter lim="400000"/>
                  </a:ln>
                  <a:effectLst/>
                </pic:spPr>
              </pic:pic>
            </a:graphicData>
          </a:graphic>
        </wp:inline>
      </w:drawing>
    </w:r>
  </w:p>
  <w:p w14:paraId="5A5D9C77" w14:textId="77777777" w:rsidR="00DF39BA" w:rsidRDefault="00DF39BA" w:rsidP="00DF39BA">
    <w:pPr>
      <w:pStyle w:val="Footer"/>
      <w:tabs>
        <w:tab w:val="right" w:pos="9340"/>
      </w:tabs>
      <w:jc w:val="center"/>
      <w:rPr>
        <w:color w:val="4472C4"/>
        <w:sz w:val="16"/>
        <w:szCs w:val="16"/>
        <w:u w:color="4472C4"/>
      </w:rPr>
    </w:pPr>
    <w:r>
      <w:rPr>
        <w:color w:val="4472C4"/>
        <w:sz w:val="16"/>
        <w:szCs w:val="16"/>
        <w:u w:color="4472C4"/>
      </w:rPr>
      <w:t>63 Rue de Lausanne, 1202, Ginebra, Suiza</w:t>
    </w:r>
  </w:p>
  <w:p w14:paraId="54485E24" w14:textId="77777777" w:rsidR="00DF39BA" w:rsidRDefault="00DF39BA" w:rsidP="00DF39BA">
    <w:pPr>
      <w:pStyle w:val="Footer"/>
      <w:tabs>
        <w:tab w:val="right" w:pos="9340"/>
      </w:tabs>
      <w:jc w:val="center"/>
    </w:pPr>
    <w:r>
      <w:rPr>
        <w:color w:val="4472C4"/>
        <w:sz w:val="16"/>
        <w:szCs w:val="16"/>
        <w:u w:color="4472C4"/>
      </w:rPr>
      <w:t xml:space="preserve">Teléfono: +41 22 715 3910  Fax: +41 22 741 0590  Correo Electrónico: </w:t>
    </w:r>
    <w:hyperlink r:id="rId2" w:history="1">
      <w:r>
        <w:rPr>
          <w:rStyle w:val="Hyperlink0"/>
        </w:rPr>
        <w:t>onug@mirex.gob.do</w:t>
      </w:r>
    </w:hyperlink>
  </w:p>
  <w:p w14:paraId="7218C93F" w14:textId="77777777" w:rsidR="00DF39BA" w:rsidRDefault="00DF3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B4D38" w14:textId="77777777" w:rsidR="0070759F" w:rsidRDefault="0070759F" w:rsidP="00DF39BA">
      <w:r>
        <w:separator/>
      </w:r>
    </w:p>
  </w:footnote>
  <w:footnote w:type="continuationSeparator" w:id="0">
    <w:p w14:paraId="67C77C79" w14:textId="77777777" w:rsidR="0070759F" w:rsidRDefault="0070759F" w:rsidP="00DF3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AE2F0" w14:textId="483CB641" w:rsidR="00DF39BA" w:rsidRDefault="00DF39BA">
    <w:pPr>
      <w:pStyle w:val="Header"/>
    </w:pPr>
    <w:r>
      <w:rPr>
        <w:noProof/>
      </w:rPr>
      <w:drawing>
        <wp:anchor distT="152400" distB="152400" distL="152400" distR="152400" simplePos="0" relativeHeight="251659264" behindDoc="1" locked="0" layoutInCell="1" allowOverlap="1" wp14:anchorId="5C28C111" wp14:editId="7589E7CE">
          <wp:simplePos x="0" y="0"/>
          <wp:positionH relativeFrom="page">
            <wp:posOffset>-206188</wp:posOffset>
          </wp:positionH>
          <wp:positionV relativeFrom="page">
            <wp:posOffset>-277196</wp:posOffset>
          </wp:positionV>
          <wp:extent cx="7693394" cy="1470796"/>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7693394" cy="1470796"/>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20CCE"/>
    <w:multiLevelType w:val="hybridMultilevel"/>
    <w:tmpl w:val="AACCDCE4"/>
    <w:lvl w:ilvl="0" w:tplc="78C46F64">
      <w:start w:val="1"/>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num w:numId="1" w16cid:durableId="137572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9BA"/>
    <w:rsid w:val="000D7B22"/>
    <w:rsid w:val="003524DE"/>
    <w:rsid w:val="003852A8"/>
    <w:rsid w:val="0070759F"/>
    <w:rsid w:val="008C705E"/>
    <w:rsid w:val="00DF1E7A"/>
    <w:rsid w:val="00DF39BA"/>
    <w:rsid w:val="00EB24E3"/>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6C60EE26"/>
  <w15:chartTrackingRefBased/>
  <w15:docId w15:val="{7591D2C7-74C1-BE4F-813B-52A95D8E0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9BA"/>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9BA"/>
    <w:pPr>
      <w:pBdr>
        <w:top w:val="nil"/>
        <w:left w:val="nil"/>
        <w:bottom w:val="nil"/>
        <w:right w:val="nil"/>
        <w:between w:val="nil"/>
        <w:bar w:val="nil"/>
      </w:pBdr>
      <w:ind w:left="720"/>
      <w:contextualSpacing/>
    </w:pPr>
    <w:rPr>
      <w:rFonts w:eastAsia="Arial Unicode MS"/>
      <w:bdr w:val="nil"/>
      <w:lang w:val="en-US" w:eastAsia="en-US"/>
    </w:rPr>
  </w:style>
  <w:style w:type="paragraph" w:styleId="Header">
    <w:name w:val="header"/>
    <w:basedOn w:val="Normal"/>
    <w:link w:val="HeaderChar"/>
    <w:uiPriority w:val="99"/>
    <w:unhideWhenUsed/>
    <w:rsid w:val="00DF39BA"/>
    <w:pPr>
      <w:tabs>
        <w:tab w:val="center" w:pos="4513"/>
        <w:tab w:val="right" w:pos="9026"/>
      </w:tabs>
    </w:pPr>
  </w:style>
  <w:style w:type="character" w:customStyle="1" w:styleId="HeaderChar">
    <w:name w:val="Header Char"/>
    <w:basedOn w:val="DefaultParagraphFont"/>
    <w:link w:val="Header"/>
    <w:uiPriority w:val="99"/>
    <w:rsid w:val="00DF39BA"/>
    <w:rPr>
      <w:rFonts w:ascii="Times New Roman" w:eastAsia="Times New Roman" w:hAnsi="Times New Roman" w:cs="Times New Roman"/>
      <w:lang w:eastAsia="en-GB"/>
    </w:rPr>
  </w:style>
  <w:style w:type="paragraph" w:styleId="Footer">
    <w:name w:val="footer"/>
    <w:basedOn w:val="Normal"/>
    <w:link w:val="FooterChar"/>
    <w:unhideWhenUsed/>
    <w:rsid w:val="00DF39BA"/>
    <w:pPr>
      <w:tabs>
        <w:tab w:val="center" w:pos="4513"/>
        <w:tab w:val="right" w:pos="9026"/>
      </w:tabs>
    </w:pPr>
  </w:style>
  <w:style w:type="character" w:customStyle="1" w:styleId="FooterChar">
    <w:name w:val="Footer Char"/>
    <w:basedOn w:val="DefaultParagraphFont"/>
    <w:link w:val="Footer"/>
    <w:rsid w:val="00DF39BA"/>
    <w:rPr>
      <w:rFonts w:ascii="Times New Roman" w:eastAsia="Times New Roman" w:hAnsi="Times New Roman" w:cs="Times New Roman"/>
      <w:lang w:eastAsia="en-GB"/>
    </w:rPr>
  </w:style>
  <w:style w:type="character" w:customStyle="1" w:styleId="Hyperlink0">
    <w:name w:val="Hyperlink.0"/>
    <w:basedOn w:val="DefaultParagraphFont"/>
    <w:rsid w:val="00DF39BA"/>
    <w:rPr>
      <w:rFonts w:ascii="Calibri" w:eastAsia="Calibri" w:hAnsi="Calibri" w:cs="Calibri"/>
      <w:color w:val="4472C4"/>
      <w:sz w:val="16"/>
      <w:szCs w:val="16"/>
      <w:u w:val="single" w:color="4472C4"/>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07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onug@mirex.gob.d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18C642-77DC-4115-B3BA-D2573C4D2A90}"/>
</file>

<file path=customXml/itemProps2.xml><?xml version="1.0" encoding="utf-8"?>
<ds:datastoreItem xmlns:ds="http://schemas.openxmlformats.org/officeDocument/2006/customXml" ds:itemID="{5CE75D0D-CDDB-46C1-80FC-E985EA497EAD}"/>
</file>

<file path=customXml/itemProps3.xml><?xml version="1.0" encoding="utf-8"?>
<ds:datastoreItem xmlns:ds="http://schemas.openxmlformats.org/officeDocument/2006/customXml" ds:itemID="{99D39E92-E4FE-418D-A8D3-5BF46E12BC02}"/>
</file>

<file path=docProps/app.xml><?xml version="1.0" encoding="utf-8"?>
<Properties xmlns="http://schemas.openxmlformats.org/officeDocument/2006/extended-properties" xmlns:vt="http://schemas.openxmlformats.org/officeDocument/2006/docPropsVTypes">
  <Template>Normal.dotm</Template>
  <TotalTime>2</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alfonsina Gonzalez Nicasio</dc:creator>
  <cp:keywords/>
  <dc:description/>
  <cp:lastModifiedBy>alfonsina Gonzalez Nicasio</cp:lastModifiedBy>
  <cp:revision>2</cp:revision>
  <cp:lastPrinted>2023-01-22T21:51:00Z</cp:lastPrinted>
  <dcterms:created xsi:type="dcterms:W3CDTF">2023-01-23T21:41:00Z</dcterms:created>
  <dcterms:modified xsi:type="dcterms:W3CDTF">2023-01-23T21:41:00Z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