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4DAA9" w14:textId="77777777" w:rsidR="008441E4" w:rsidRPr="00E93D27" w:rsidRDefault="008441E4" w:rsidP="008441E4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eastAsiaTheme="minorHAnsi" w:hAnsi="Calibri Light" w:cstheme="minorBidi"/>
          <w:color w:val="44546A" w:themeColor="text2"/>
          <w:lang w:val="en-GB" w:eastAsia="en-US"/>
        </w:rPr>
      </w:pPr>
      <w:r w:rsidRPr="00E93D27">
        <w:rPr>
          <w:rStyle w:val="Strong"/>
          <w:rFonts w:ascii="Calibri Light" w:hAnsi="Calibri Light"/>
        </w:rPr>
        <w:t>Universal Periodic Review Working Group – 4</w:t>
      </w:r>
      <w:r>
        <w:rPr>
          <w:rStyle w:val="Strong"/>
          <w:rFonts w:ascii="Calibri Light" w:hAnsi="Calibri Light"/>
        </w:rPr>
        <w:t xml:space="preserve">2nd </w:t>
      </w:r>
      <w:r w:rsidRPr="00E93D27">
        <w:rPr>
          <w:rStyle w:val="Strong"/>
          <w:rFonts w:ascii="Calibri Light" w:hAnsi="Calibri Light"/>
        </w:rPr>
        <w:t>Session</w:t>
      </w:r>
    </w:p>
    <w:p w14:paraId="137572A5" w14:textId="77777777" w:rsidR="008441E4" w:rsidRPr="00E93D27" w:rsidRDefault="008441E4" w:rsidP="008441E4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</w:rPr>
      </w:pPr>
    </w:p>
    <w:p w14:paraId="1BBBD120" w14:textId="77777777" w:rsidR="008441E4" w:rsidRPr="00E93D27" w:rsidRDefault="008441E4" w:rsidP="008441E4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</w:rPr>
      </w:pPr>
      <w:r w:rsidRPr="00E93D27">
        <w:rPr>
          <w:rStyle w:val="Strong"/>
          <w:rFonts w:ascii="Calibri Light" w:hAnsi="Calibri Light"/>
        </w:rPr>
        <w:t>Universal Periodic Review of Sri Lanka</w:t>
      </w:r>
    </w:p>
    <w:p w14:paraId="0F528069" w14:textId="77777777" w:rsidR="008441E4" w:rsidRPr="00E93D27" w:rsidRDefault="008441E4" w:rsidP="008441E4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</w:rPr>
      </w:pPr>
    </w:p>
    <w:p w14:paraId="6B14F011" w14:textId="77777777" w:rsidR="008441E4" w:rsidRPr="00E93D27" w:rsidRDefault="008441E4" w:rsidP="008441E4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</w:rPr>
      </w:pPr>
      <w:r w:rsidRPr="00E93D27">
        <w:rPr>
          <w:rStyle w:val="Strong"/>
          <w:rFonts w:ascii="Calibri Light" w:hAnsi="Calibri Light"/>
        </w:rPr>
        <w:t>Statement by Australia</w:t>
      </w:r>
    </w:p>
    <w:p w14:paraId="1D4AB7A9" w14:textId="77777777" w:rsidR="008441E4" w:rsidRPr="00E93D27" w:rsidRDefault="008441E4" w:rsidP="008441E4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</w:rPr>
      </w:pPr>
    </w:p>
    <w:p w14:paraId="56748F0E" w14:textId="77777777" w:rsidR="008441E4" w:rsidRPr="00E93D27" w:rsidRDefault="008441E4" w:rsidP="008441E4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</w:rPr>
      </w:pPr>
      <w:r w:rsidRPr="00E93D27">
        <w:rPr>
          <w:rStyle w:val="Strong"/>
          <w:rFonts w:ascii="Calibri Light" w:hAnsi="Calibri Light"/>
        </w:rPr>
        <w:t>1 February 2023</w:t>
      </w:r>
    </w:p>
    <w:p w14:paraId="50A102EC" w14:textId="77777777" w:rsidR="008441E4" w:rsidRPr="00E93D27" w:rsidRDefault="008441E4" w:rsidP="008441E4">
      <w:pPr>
        <w:rPr>
          <w:sz w:val="24"/>
          <w:szCs w:val="24"/>
        </w:rPr>
      </w:pPr>
    </w:p>
    <w:p w14:paraId="4BF9F4B8" w14:textId="77777777" w:rsidR="008441E4" w:rsidRPr="00E93D27" w:rsidRDefault="008441E4" w:rsidP="008441E4">
      <w:pPr>
        <w:rPr>
          <w:sz w:val="24"/>
          <w:szCs w:val="24"/>
        </w:rPr>
      </w:pPr>
      <w:r w:rsidRPr="00E93D27">
        <w:rPr>
          <w:sz w:val="24"/>
          <w:szCs w:val="24"/>
        </w:rPr>
        <w:t>Thank you, [President</w:t>
      </w:r>
      <w:r>
        <w:rPr>
          <w:sz w:val="24"/>
          <w:szCs w:val="24"/>
        </w:rPr>
        <w:t>/Vice President</w:t>
      </w:r>
      <w:r w:rsidRPr="00E93D27">
        <w:rPr>
          <w:sz w:val="24"/>
          <w:szCs w:val="24"/>
        </w:rPr>
        <w:t xml:space="preserve">] </w:t>
      </w:r>
    </w:p>
    <w:p w14:paraId="4F2E20A4" w14:textId="77777777" w:rsidR="008441E4" w:rsidRPr="009F4196" w:rsidRDefault="008441E4" w:rsidP="008441E4">
      <w:pPr>
        <w:rPr>
          <w:sz w:val="24"/>
          <w:szCs w:val="24"/>
        </w:rPr>
      </w:pPr>
      <w:r w:rsidRPr="00E93D27">
        <w:rPr>
          <w:sz w:val="24"/>
          <w:szCs w:val="24"/>
        </w:rPr>
        <w:t xml:space="preserve">Australia acknowledges Sri Lanka’s commitments towards </w:t>
      </w:r>
      <w:r>
        <w:rPr>
          <w:sz w:val="24"/>
          <w:szCs w:val="24"/>
        </w:rPr>
        <w:t xml:space="preserve">advancing human rights, </w:t>
      </w:r>
      <w:proofErr w:type="gramStart"/>
      <w:r w:rsidRPr="00E93D27">
        <w:rPr>
          <w:sz w:val="24"/>
          <w:szCs w:val="24"/>
        </w:rPr>
        <w:t>reconciliation</w:t>
      </w:r>
      <w:proofErr w:type="gramEnd"/>
      <w:r w:rsidRPr="00E93D27">
        <w:rPr>
          <w:sz w:val="24"/>
          <w:szCs w:val="24"/>
        </w:rPr>
        <w:t xml:space="preserve"> and transitional justice since its last </w:t>
      </w:r>
      <w:r>
        <w:rPr>
          <w:sz w:val="24"/>
          <w:szCs w:val="24"/>
        </w:rPr>
        <w:t>UPR appearance</w:t>
      </w:r>
      <w:r w:rsidRPr="00E93D2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We call on </w:t>
      </w:r>
      <w:r w:rsidRPr="00E93D27">
        <w:rPr>
          <w:sz w:val="24"/>
          <w:szCs w:val="24"/>
        </w:rPr>
        <w:t xml:space="preserve">Sri Lanka </w:t>
      </w:r>
      <w:r>
        <w:rPr>
          <w:sz w:val="24"/>
          <w:szCs w:val="24"/>
        </w:rPr>
        <w:t>to implement these commitments in full</w:t>
      </w:r>
      <w:r w:rsidRPr="009F4196">
        <w:rPr>
          <w:sz w:val="24"/>
          <w:szCs w:val="24"/>
        </w:rPr>
        <w:t xml:space="preserve">. </w:t>
      </w:r>
      <w:r>
        <w:rPr>
          <w:sz w:val="24"/>
          <w:szCs w:val="24"/>
        </w:rPr>
        <w:t>We acknowledge Sri Lanka’s moratorium on use of the death penalty and encourage its formalisation.</w:t>
      </w:r>
    </w:p>
    <w:p w14:paraId="37A71FB3" w14:textId="77777777" w:rsidR="008441E4" w:rsidRPr="002729F2" w:rsidRDefault="008441E4" w:rsidP="008441E4">
      <w:pPr>
        <w:rPr>
          <w:sz w:val="24"/>
          <w:szCs w:val="24"/>
        </w:rPr>
      </w:pPr>
      <w:r w:rsidRPr="009F4196">
        <w:rPr>
          <w:sz w:val="24"/>
          <w:szCs w:val="24"/>
        </w:rPr>
        <w:t>We recognise concerns raised</w:t>
      </w:r>
      <w:r w:rsidRPr="002729F2">
        <w:rPr>
          <w:sz w:val="24"/>
          <w:szCs w:val="24"/>
        </w:rPr>
        <w:t xml:space="preserve"> </w:t>
      </w:r>
      <w:r>
        <w:rPr>
          <w:sz w:val="24"/>
          <w:szCs w:val="24"/>
        </w:rPr>
        <w:t>in reports for UNHRC51 (</w:t>
      </w:r>
      <w:r w:rsidRPr="00642291">
        <w:rPr>
          <w:sz w:val="24"/>
          <w:szCs w:val="24"/>
        </w:rPr>
        <w:t>A/HRC/51/5</w:t>
      </w:r>
      <w:r>
        <w:rPr>
          <w:sz w:val="24"/>
          <w:szCs w:val="24"/>
        </w:rPr>
        <w:t>) and UNHRC49 (A/HRC/49/9)</w:t>
      </w:r>
      <w:r w:rsidRPr="002729F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particularly over treatment of minority groups, stalled progress on transitional justice and </w:t>
      </w:r>
      <w:r w:rsidRPr="002729F2">
        <w:rPr>
          <w:sz w:val="24"/>
          <w:szCs w:val="24"/>
        </w:rPr>
        <w:t xml:space="preserve">responses to peaceful protest, including use of the </w:t>
      </w:r>
      <w:r w:rsidRPr="002435B9">
        <w:rPr>
          <w:sz w:val="24"/>
          <w:szCs w:val="24"/>
        </w:rPr>
        <w:t>Prevention of Terrorism Act</w:t>
      </w:r>
      <w:r w:rsidRPr="002729F2">
        <w:rPr>
          <w:sz w:val="24"/>
          <w:szCs w:val="24"/>
        </w:rPr>
        <w:t xml:space="preserve">. </w:t>
      </w:r>
      <w:r>
        <w:rPr>
          <w:sz w:val="24"/>
          <w:szCs w:val="24"/>
        </w:rPr>
        <w:t>Addressing these concerns and strengthening democratic governance will be fundamental to Sri Lanka’s long-term stability and prosperity.</w:t>
      </w:r>
      <w:r w:rsidRPr="002729F2">
        <w:rPr>
          <w:sz w:val="24"/>
          <w:szCs w:val="24"/>
        </w:rPr>
        <w:t xml:space="preserve"> </w:t>
      </w:r>
    </w:p>
    <w:p w14:paraId="2177F3FD" w14:textId="77777777" w:rsidR="008441E4" w:rsidRPr="00AE759E" w:rsidRDefault="008441E4" w:rsidP="008441E4">
      <w:pPr>
        <w:rPr>
          <w:sz w:val="24"/>
          <w:szCs w:val="24"/>
        </w:rPr>
      </w:pPr>
      <w:r w:rsidRPr="00AE759E">
        <w:rPr>
          <w:sz w:val="24"/>
          <w:szCs w:val="24"/>
        </w:rPr>
        <w:t>Australia recommends that Sri Lanka:</w:t>
      </w:r>
    </w:p>
    <w:p w14:paraId="11D80236" w14:textId="77777777" w:rsidR="008441E4" w:rsidRPr="00396D58" w:rsidRDefault="008441E4" w:rsidP="008441E4">
      <w:pPr>
        <w:ind w:left="720" w:hanging="720"/>
        <w:rPr>
          <w:b/>
          <w:bCs/>
          <w:sz w:val="24"/>
          <w:szCs w:val="24"/>
        </w:rPr>
      </w:pPr>
      <w:r w:rsidRPr="00D91AFE">
        <w:rPr>
          <w:b/>
          <w:bCs/>
          <w:sz w:val="24"/>
          <w:szCs w:val="24"/>
        </w:rPr>
        <w:t>1.</w:t>
      </w:r>
      <w:r w:rsidRPr="00D91AFE">
        <w:rPr>
          <w:b/>
          <w:bCs/>
          <w:sz w:val="24"/>
          <w:szCs w:val="24"/>
        </w:rPr>
        <w:tab/>
      </w:r>
      <w:r w:rsidRPr="00396D58">
        <w:rPr>
          <w:b/>
          <w:bCs/>
          <w:sz w:val="24"/>
          <w:szCs w:val="24"/>
        </w:rPr>
        <w:t>Fully implement a credible transitional justice and reconciliation mechanism consistent with HRC Resolution 51/1</w:t>
      </w:r>
      <w:r>
        <w:rPr>
          <w:b/>
          <w:bCs/>
          <w:sz w:val="24"/>
          <w:szCs w:val="24"/>
        </w:rPr>
        <w:t xml:space="preserve"> (A/HRC/51/1)</w:t>
      </w:r>
      <w:r w:rsidRPr="00396D58">
        <w:rPr>
          <w:b/>
          <w:bCs/>
          <w:sz w:val="24"/>
          <w:szCs w:val="24"/>
        </w:rPr>
        <w:t xml:space="preserve"> and renew its commitments under Resolution 30/1 (A/HRC/30/1).</w:t>
      </w:r>
    </w:p>
    <w:p w14:paraId="26D9882B" w14:textId="77777777" w:rsidR="008441E4" w:rsidRPr="00396D58" w:rsidRDefault="008441E4" w:rsidP="008441E4">
      <w:pPr>
        <w:ind w:left="720" w:hanging="720"/>
        <w:rPr>
          <w:b/>
          <w:bCs/>
          <w:sz w:val="24"/>
          <w:szCs w:val="24"/>
        </w:rPr>
      </w:pPr>
      <w:r w:rsidRPr="00396D58">
        <w:rPr>
          <w:b/>
          <w:bCs/>
          <w:sz w:val="24"/>
          <w:szCs w:val="24"/>
        </w:rPr>
        <w:t>2.</w:t>
      </w:r>
      <w:r w:rsidRPr="00396D58">
        <w:rPr>
          <w:b/>
          <w:bCs/>
          <w:sz w:val="24"/>
          <w:szCs w:val="24"/>
        </w:rPr>
        <w:tab/>
        <w:t>Repeal the Prevention of Terrorism Act and ensure any replacement legislation conforms to best practice international human rights standards.</w:t>
      </w:r>
    </w:p>
    <w:p w14:paraId="02499618" w14:textId="77777777" w:rsidR="008441E4" w:rsidRPr="00396D58" w:rsidRDefault="008441E4" w:rsidP="008441E4">
      <w:pPr>
        <w:ind w:left="720" w:hanging="720"/>
        <w:rPr>
          <w:b/>
          <w:bCs/>
          <w:sz w:val="24"/>
          <w:szCs w:val="24"/>
        </w:rPr>
      </w:pPr>
      <w:r w:rsidRPr="00396D58">
        <w:rPr>
          <w:b/>
          <w:bCs/>
          <w:sz w:val="24"/>
          <w:szCs w:val="24"/>
        </w:rPr>
        <w:t>3.</w:t>
      </w:r>
      <w:r w:rsidRPr="00396D58">
        <w:rPr>
          <w:b/>
          <w:bCs/>
          <w:sz w:val="24"/>
          <w:szCs w:val="24"/>
        </w:rPr>
        <w:tab/>
        <w:t>Amend laws and policies to guarantee the equal rights of women and LGBTI individuals, including by decriminalising consensual same-sex conduct.</w:t>
      </w:r>
    </w:p>
    <w:p w14:paraId="5C0FBA3C" w14:textId="77777777" w:rsidR="008441E4" w:rsidRPr="00E93D27" w:rsidRDefault="008441E4" w:rsidP="008441E4">
      <w:pPr>
        <w:rPr>
          <w:sz w:val="24"/>
          <w:szCs w:val="24"/>
        </w:rPr>
      </w:pPr>
    </w:p>
    <w:p w14:paraId="62686D62" w14:textId="77777777" w:rsidR="008441E4" w:rsidRPr="00D91AFE" w:rsidRDefault="008441E4" w:rsidP="008441E4">
      <w:pPr>
        <w:rPr>
          <w:sz w:val="24"/>
          <w:szCs w:val="24"/>
        </w:rPr>
      </w:pPr>
      <w:r w:rsidRPr="00D91AFE">
        <w:rPr>
          <w:sz w:val="24"/>
          <w:szCs w:val="24"/>
        </w:rPr>
        <w:t>[17</w:t>
      </w:r>
      <w:r>
        <w:rPr>
          <w:sz w:val="24"/>
          <w:szCs w:val="24"/>
        </w:rPr>
        <w:t>1</w:t>
      </w:r>
      <w:r w:rsidRPr="00D91AFE">
        <w:rPr>
          <w:sz w:val="24"/>
          <w:szCs w:val="24"/>
        </w:rPr>
        <w:t xml:space="preserve"> words]</w:t>
      </w:r>
    </w:p>
    <w:p w14:paraId="27212A6F" w14:textId="77777777" w:rsidR="008B1755" w:rsidRDefault="008B1755"/>
    <w:sectPr w:rsidR="008B1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1E4"/>
    <w:rsid w:val="000547C8"/>
    <w:rsid w:val="008441E4"/>
    <w:rsid w:val="008B1755"/>
    <w:rsid w:val="00C76A43"/>
    <w:rsid w:val="00DA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800AC"/>
  <w15:chartTrackingRefBased/>
  <w15:docId w15:val="{7B214D17-6FEB-4C49-BC75-99F25A6E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4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441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ED622B-584F-473D-8A65-870E5B707946}"/>
</file>

<file path=customXml/itemProps2.xml><?xml version="1.0" encoding="utf-8"?>
<ds:datastoreItem xmlns:ds="http://schemas.openxmlformats.org/officeDocument/2006/customXml" ds:itemID="{9FF00A88-588B-4A82-A6FA-BC92FE7126A4}"/>
</file>

<file path=customXml/itemProps3.xml><?xml version="1.0" encoding="utf-8"?>
<ds:datastoreItem xmlns:ds="http://schemas.openxmlformats.org/officeDocument/2006/customXml" ds:itemID="{11F6C316-0EE8-45D4-B820-9D2D9C775F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1222</Characters>
  <Application>Microsoft Office Word</Application>
  <DocSecurity>0</DocSecurity>
  <Lines>28</Lines>
  <Paragraphs>12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Fowler</dc:creator>
  <cp:keywords>[SEC=OFFICIAL]</cp:keywords>
  <dc:description/>
  <cp:lastModifiedBy>Matthew Fowler</cp:lastModifiedBy>
  <cp:revision>1</cp:revision>
  <dcterms:created xsi:type="dcterms:W3CDTF">2023-02-01T17:35:00Z</dcterms:created>
  <dcterms:modified xsi:type="dcterms:W3CDTF">2023-02-01T17:36:00Z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7E4A7FA98382497AA3EA4B73602F17DC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74D8BD7A08001F75AC163FE607771732A8760373</vt:lpwstr>
  </property>
  <property fmtid="{D5CDD505-2E9C-101B-9397-08002B2CF9AE}" pid="11" name="PM_OriginationTimeStamp">
    <vt:lpwstr>2023-02-01T17:35:50Z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Uuid">
    <vt:lpwstr>ABBFF5E2-9674-55C9-B08D-C9980002FD58</vt:lpwstr>
  </property>
  <property fmtid="{D5CDD505-2E9C-101B-9397-08002B2CF9AE}" pid="20" name="PMUuidVer">
    <vt:lpwstr>2022.1</vt:lpwstr>
  </property>
  <property fmtid="{D5CDD505-2E9C-101B-9397-08002B2CF9AE}" pid="21" name="PM_Hash_Version">
    <vt:lpwstr>2018.0</vt:lpwstr>
  </property>
  <property fmtid="{D5CDD505-2E9C-101B-9397-08002B2CF9AE}" pid="22" name="PM_Hash_Salt_Prev">
    <vt:lpwstr>72E1CF1A6ACD34B45BFEBE3B6E2F0B2E</vt:lpwstr>
  </property>
  <property fmtid="{D5CDD505-2E9C-101B-9397-08002B2CF9AE}" pid="23" name="PM_Hash_Salt">
    <vt:lpwstr>72E1CF1A6ACD34B45BFEBE3B6E2F0B2E</vt:lpwstr>
  </property>
  <property fmtid="{D5CDD505-2E9C-101B-9397-08002B2CF9AE}" pid="24" name="PM_Hash_SHA1">
    <vt:lpwstr>FA7A0EEBC0228A54634F8AE2E09948B5362019B3</vt:lpwstr>
  </property>
  <property fmtid="{D5CDD505-2E9C-101B-9397-08002B2CF9AE}" pid="25" name="PM_OriginatorUserAccountName_SHA256">
    <vt:lpwstr>FFF655B1F58442BECE5FA83E96E1810B2712F1364DC0D423EAB7CCBEB8ABC2AD</vt:lpwstr>
  </property>
  <property fmtid="{D5CDD505-2E9C-101B-9397-08002B2CF9AE}" pid="26" name="PM_OriginatorDomainName_SHA256">
    <vt:lpwstr>6F3591835F3B2A8A025B00B5BA6418010DA3A17C9C26EA9C049FFD28039489A2</vt:lpwstr>
  </property>
  <property fmtid="{D5CDD505-2E9C-101B-9397-08002B2CF9AE}" pid="27" name="PM_MinimumSecurityClassification">
    <vt:lpwstr/>
  </property>
  <property fmtid="{D5CDD505-2E9C-101B-9397-08002B2CF9AE}" pid="28" name="ContentTypeId">
    <vt:lpwstr>0x01010037C5AC3008AAB14799B0F32C039A8199</vt:lpwstr>
  </property>
</Properties>
</file>