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1F6C36" w:rsidRPr="001F6C36" w:rsidRDefault="001F6C36" w:rsidP="001F6C36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الاستعراض الدوري الشامل – الدورة </w:t>
      </w:r>
      <w:r w:rsidRPr="001F6C36">
        <w:rPr>
          <w:rFonts w:ascii="Sitka Small" w:hAnsi="Sitka Small" w:cs="Sakkal Majalla"/>
          <w:b/>
          <w:bCs/>
          <w:sz w:val="32"/>
          <w:szCs w:val="32"/>
        </w:rPr>
        <w:t>42</w:t>
      </w:r>
    </w:p>
    <w:p w:rsidR="001F6C36" w:rsidRPr="001F6C36" w:rsidRDefault="001F6C36" w:rsidP="001F6C36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1F6C36">
        <w:rPr>
          <w:rFonts w:ascii="Sitka Small" w:hAnsi="Sitka Small" w:cs="Sakkal Majalla"/>
          <w:b/>
          <w:bCs/>
          <w:sz w:val="32"/>
          <w:szCs w:val="32"/>
        </w:rPr>
        <w:t>23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كانون الثاني -  3 شباط -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6A423B" w:rsidRDefault="008A1CFF" w:rsidP="006A423B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1566FE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6A423B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جمهورية باكستان الإسلامية</w:t>
      </w:r>
    </w:p>
    <w:p w:rsidR="006A423B" w:rsidRPr="006A423B" w:rsidRDefault="008A1CFF" w:rsidP="006A423B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646EBB" w:rsidRPr="00D51B6E">
        <w:rPr>
          <w:rFonts w:ascii="Sitka Small" w:hAnsi="Sitka Small" w:cs="Sakkal Majalla"/>
          <w:b/>
          <w:bCs/>
        </w:rPr>
        <w:t xml:space="preserve">the </w:t>
      </w:r>
      <w:r w:rsidR="006A423B" w:rsidRPr="006A423B">
        <w:rPr>
          <w:rFonts w:ascii="Sitka Small" w:hAnsi="Sitka Small" w:cs="Sakkal Majalla"/>
          <w:b/>
          <w:bCs/>
        </w:rPr>
        <w:t>Islamic Republic of Pakistan</w:t>
      </w: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Default="00646EBB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352CB9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0D5AAE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</w:t>
      </w:r>
      <w:r w:rsidRPr="00352CB9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</w:p>
    <w:p w:rsidR="00763FA2" w:rsidRPr="00763FA2" w:rsidRDefault="006A423B" w:rsidP="000A47B2">
      <w:pPr>
        <w:spacing w:after="0" w:line="360" w:lineRule="auto"/>
        <w:jc w:val="lowKashida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نرحب بوفد باكستان</w:t>
      </w:r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الموقر، ونشكره على العرض القيم الذي أكد</w:t>
      </w:r>
      <w:bookmarkStart w:id="0" w:name="_GoBack"/>
      <w:bookmarkEnd w:id="0"/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التزام باكستان </w:t>
      </w:r>
      <w:proofErr w:type="spellStart"/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المبدأي</w:t>
      </w:r>
      <w:proofErr w:type="spellEnd"/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بأداء تعهداتها المتصلة بحماية و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تعزيز </w:t>
      </w:r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كافة حقوق ا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لإنسان</w:t>
      </w:r>
      <w:r w:rsidR="000A47B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بما في ذلك </w:t>
      </w:r>
      <w:r w:rsidR="00C10C8E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الحق بالتنمية. و</w:t>
      </w:r>
      <w:r w:rsidR="00763FA2" w:rsidRPr="00D908E7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نقدر إدراج</w:t>
      </w:r>
      <w:r w:rsidR="00C10C8E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ها </w:t>
      </w:r>
      <w:r w:rsidR="00763FA2" w:rsidRPr="00D908E7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أهداف التنمية المستدامة في جدول أعمالها الوطني لعام 2030،</w:t>
      </w:r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الإجراءات 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المتخذة 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لل</w:t>
      </w:r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تعامل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مع </w:t>
      </w:r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التحديات  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التي فاقمها </w:t>
      </w:r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انتشار جائحة </w:t>
      </w:r>
      <w:proofErr w:type="spellStart"/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كوفيد</w:t>
      </w:r>
      <w:proofErr w:type="spellEnd"/>
      <w:r w:rsidR="00D908E7" w:rsidRP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-19 وآثار الكوارث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الطبيعية وتغير المناخ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من خلال نهج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ٍ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قائم</w:t>
      </w:r>
      <w:r w:rsidR="00C10C8E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ٍ</w:t>
      </w:r>
      <w:r w:rsidR="00D908E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على تعزيز شبكات الأمان الاجتماعي وبرامج مكافحة الفقر، ونوصي:  </w:t>
      </w:r>
      <w:r w:rsidR="00763FA2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</w:p>
    <w:p w:rsidR="006A423B" w:rsidRDefault="006A423B" w:rsidP="00876AB8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1. مواصلة الجهود الرامية إلى </w:t>
      </w:r>
      <w:r w:rsidRPr="006A423B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التخفيف من حدة الفقر وتعزيز التنمية الاقتصادية والاجتماعية المستدامة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. </w:t>
      </w:r>
    </w:p>
    <w:p w:rsidR="006A423B" w:rsidRPr="006A423B" w:rsidRDefault="006A423B" w:rsidP="00876AB8">
      <w:pPr>
        <w:spacing w:after="0" w:line="360" w:lineRule="auto"/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</w:pP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2. مواصلة الجهود </w:t>
      </w:r>
      <w:r w:rsidRPr="006A423B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لتخفيض معدلات التسرب المدرسي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، والنظر في السعي للحصول على </w:t>
      </w:r>
      <w:r w:rsidRPr="006A423B">
        <w:rPr>
          <w:rFonts w:ascii="Sakkal Majalla" w:hAnsi="Sakkal Majalla" w:cs="Sakkal Majalla" w:hint="cs"/>
          <w:sz w:val="28"/>
          <w:szCs w:val="28"/>
          <w:u w:val="single"/>
          <w:rtl/>
          <w:lang w:bidi="ar-SY"/>
        </w:rPr>
        <w:t>الدعم الدولي لإعادة تأهيل مرافق التعليم في المناطق المتأثرة بالفيضانات.</w:t>
      </w:r>
    </w:p>
    <w:p w:rsidR="00D908E7" w:rsidRPr="00C10C8E" w:rsidRDefault="00D908E7" w:rsidP="00D908E7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>Thanks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 you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Mr. President, </w:t>
      </w:r>
    </w:p>
    <w:p w:rsidR="000D5AAE" w:rsidRDefault="00D908E7" w:rsidP="00C80050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We welcome the distinguished delegation of Pakistan, and thank 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the delegation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for the valuable presentation, which reaffirmed Pakistan's principled commitment to fulfilling its commitments related to the </w:t>
      </w:r>
      <w:r w:rsidR="00C10C8E">
        <w:rPr>
          <w:rFonts w:ascii="Arabic Typesetting" w:hAnsi="Arabic Typesetting" w:cs="Arabic Typesetting"/>
          <w:sz w:val="34"/>
          <w:szCs w:val="34"/>
          <w:lang w:bidi="ar-SY"/>
        </w:rPr>
        <w:t xml:space="preserve">promotion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and </w:t>
      </w:r>
      <w:r w:rsidR="00C10C8E">
        <w:rPr>
          <w:rFonts w:ascii="Arabic Typesetting" w:hAnsi="Arabic Typesetting" w:cs="Arabic Typesetting"/>
          <w:sz w:val="34"/>
          <w:szCs w:val="34"/>
          <w:lang w:bidi="ar-SY"/>
        </w:rPr>
        <w:t xml:space="preserve">protection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of all human rights, including </w:t>
      </w:r>
      <w:r w:rsidRPr="000D5AAE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the right to development. We appreciate </w:t>
      </w:r>
      <w:r w:rsidR="00C10C8E" w:rsidRPr="000D5AAE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the </w:t>
      </w:r>
      <w:r w:rsidRPr="000D5AAE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inclusion of the Sustainable Development Goals in its National Agenda</w:t>
      </w:r>
      <w:r w:rsidR="008567D3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</w:t>
      </w:r>
      <w:r w:rsidR="008567D3" w:rsidRPr="000D5AAE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2030</w:t>
      </w:r>
      <w:r w:rsidRPr="000D5AAE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,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and the measures taken to </w:t>
      </w:r>
      <w:r w:rsidR="00C10C8E">
        <w:rPr>
          <w:rFonts w:ascii="Arabic Typesetting" w:hAnsi="Arabic Typesetting" w:cs="Arabic Typesetting"/>
          <w:sz w:val="34"/>
          <w:szCs w:val="34"/>
          <w:lang w:bidi="ar-SY"/>
        </w:rPr>
        <w:t xml:space="preserve">address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the challenges that have been exacerbated by the spread of the COVID-19 and the </w:t>
      </w:r>
      <w:r w:rsidR="00C10C8E">
        <w:rPr>
          <w:rFonts w:ascii="Arabic Typesetting" w:hAnsi="Arabic Typesetting" w:cs="Arabic Typesetting"/>
          <w:sz w:val="34"/>
          <w:szCs w:val="34"/>
          <w:lang w:bidi="ar-SY"/>
        </w:rPr>
        <w:t xml:space="preserve">impacts 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>of natur</w:t>
      </w:r>
      <w:r w:rsidR="00190B3D">
        <w:rPr>
          <w:rFonts w:ascii="Arabic Typesetting" w:hAnsi="Arabic Typesetting" w:cs="Arabic Typesetting"/>
          <w:sz w:val="34"/>
          <w:szCs w:val="34"/>
          <w:lang w:bidi="ar-SY"/>
        </w:rPr>
        <w:t>al disasters and climate change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through an approach based on strengthening social </w:t>
      </w:r>
      <w:r w:rsidR="00C80050">
        <w:rPr>
          <w:rFonts w:ascii="Arabic Typesetting" w:hAnsi="Arabic Typesetting" w:cs="Arabic Typesetting"/>
          <w:sz w:val="34"/>
          <w:szCs w:val="34"/>
          <w:lang w:bidi="ar-SY"/>
        </w:rPr>
        <w:t>safety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net</w:t>
      </w:r>
      <w:r w:rsidR="00C10C8E">
        <w:rPr>
          <w:rFonts w:ascii="Arabic Typesetting" w:hAnsi="Arabic Typesetting" w:cs="Arabic Typesetting"/>
          <w:sz w:val="34"/>
          <w:szCs w:val="34"/>
          <w:lang w:bidi="ar-SY"/>
        </w:rPr>
        <w:t>s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and poverty </w:t>
      </w:r>
      <w:r w:rsidR="000D5AAE">
        <w:rPr>
          <w:rFonts w:ascii="Arabic Typesetting" w:hAnsi="Arabic Typesetting" w:cs="Arabic Typesetting"/>
          <w:sz w:val="34"/>
          <w:szCs w:val="34"/>
          <w:lang w:bidi="ar-SY"/>
        </w:rPr>
        <w:t xml:space="preserve">eradication </w:t>
      </w:r>
      <w:proofErr w:type="spellStart"/>
      <w:r w:rsidR="000D5AAE">
        <w:rPr>
          <w:rFonts w:ascii="Arabic Typesetting" w:hAnsi="Arabic Typesetting" w:cs="Arabic Typesetting"/>
          <w:sz w:val="34"/>
          <w:szCs w:val="34"/>
          <w:lang w:bidi="ar-SY"/>
        </w:rPr>
        <w:t>programmes</w:t>
      </w:r>
      <w:proofErr w:type="spellEnd"/>
      <w:r w:rsidR="000D5AAE">
        <w:rPr>
          <w:rFonts w:ascii="Arabic Typesetting" w:hAnsi="Arabic Typesetting" w:cs="Arabic Typesetting"/>
          <w:sz w:val="34"/>
          <w:szCs w:val="34"/>
          <w:lang w:bidi="ar-SY"/>
        </w:rPr>
        <w:t>.</w:t>
      </w:r>
    </w:p>
    <w:p w:rsidR="006A423B" w:rsidRPr="000D5AAE" w:rsidRDefault="000D5AAE" w:rsidP="000D5AAE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 w:hint="cs"/>
          <w:b/>
          <w:bCs/>
          <w:sz w:val="34"/>
          <w:szCs w:val="34"/>
          <w:u w:val="single"/>
          <w:rtl/>
          <w:lang w:bidi="ar-SY"/>
        </w:rPr>
      </w:pPr>
      <w:r w:rsidRPr="000D5AAE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Recommendations</w:t>
      </w:r>
      <w:r w:rsidR="00D908E7" w:rsidRPr="000D5AAE">
        <w:rPr>
          <w:rFonts w:ascii="Arabic Typesetting" w:hAnsi="Arabic Typesetting" w:cs="Arabic Typesetting"/>
          <w:b/>
          <w:bCs/>
          <w:sz w:val="34"/>
          <w:szCs w:val="34"/>
          <w:u w:val="single"/>
          <w:rtl/>
          <w:lang w:bidi="ar-SY"/>
        </w:rPr>
        <w:t>:</w:t>
      </w:r>
    </w:p>
    <w:p w:rsidR="006A423B" w:rsidRPr="00D908E7" w:rsidRDefault="006A423B" w:rsidP="00D908E7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</w:pP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1. Continue the efforts to 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alleviate poverty</w:t>
      </w:r>
      <w:r w:rsidRPr="00D908E7">
        <w:rPr>
          <w:rFonts w:ascii="Arabic Typesetting" w:hAnsi="Arabic Typesetting" w:cs="Arabic Typesetting"/>
          <w:sz w:val="34"/>
          <w:szCs w:val="34"/>
          <w:lang w:bidi="ar-SY"/>
        </w:rPr>
        <w:t xml:space="preserve"> and 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promote economic and social sustainable development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. </w:t>
      </w:r>
    </w:p>
    <w:p w:rsidR="007D0FAC" w:rsidRDefault="006A423B" w:rsidP="00D908E7">
      <w:pPr>
        <w:bidi w:val="0"/>
        <w:spacing w:after="0" w:line="360" w:lineRule="auto"/>
        <w:ind w:firstLine="567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D908E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2. Continue the efforts to 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>reduce school dropout rates</w:t>
      </w:r>
      <w:r w:rsidRPr="00D908E7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, and consider seeking 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international support to rehabilitate education facilities in flood affected areas. </w:t>
      </w:r>
      <w:r w:rsidRPr="00D908E7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  </w:t>
      </w: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8B" w:rsidRDefault="00C2078B">
      <w:pPr>
        <w:spacing w:line="240" w:lineRule="auto"/>
      </w:pPr>
      <w:r>
        <w:separator/>
      </w:r>
    </w:p>
  </w:endnote>
  <w:endnote w:type="continuationSeparator" w:id="0">
    <w:p w:rsidR="00C2078B" w:rsidRDefault="00C20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8B" w:rsidRDefault="00C2078B">
      <w:pPr>
        <w:spacing w:after="0"/>
      </w:pPr>
      <w:r>
        <w:separator/>
      </w:r>
    </w:p>
  </w:footnote>
  <w:footnote w:type="continuationSeparator" w:id="0">
    <w:p w:rsidR="00C2078B" w:rsidRDefault="00C207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24B4F"/>
    <w:rsid w:val="000267A2"/>
    <w:rsid w:val="000608DD"/>
    <w:rsid w:val="00067A4B"/>
    <w:rsid w:val="000A47B2"/>
    <w:rsid w:val="000A64B0"/>
    <w:rsid w:val="000B1FBE"/>
    <w:rsid w:val="000B43DA"/>
    <w:rsid w:val="000C1A1D"/>
    <w:rsid w:val="000C4EE7"/>
    <w:rsid w:val="000C7266"/>
    <w:rsid w:val="000D5AAE"/>
    <w:rsid w:val="000E0846"/>
    <w:rsid w:val="000E7346"/>
    <w:rsid w:val="00111041"/>
    <w:rsid w:val="001566FE"/>
    <w:rsid w:val="00165994"/>
    <w:rsid w:val="00175510"/>
    <w:rsid w:val="00182A26"/>
    <w:rsid w:val="00183DD2"/>
    <w:rsid w:val="00190B3D"/>
    <w:rsid w:val="001A41AA"/>
    <w:rsid w:val="001B302D"/>
    <w:rsid w:val="001D6EF4"/>
    <w:rsid w:val="001E0310"/>
    <w:rsid w:val="001E33CA"/>
    <w:rsid w:val="001F6C36"/>
    <w:rsid w:val="002001E6"/>
    <w:rsid w:val="00210185"/>
    <w:rsid w:val="00211E93"/>
    <w:rsid w:val="00216517"/>
    <w:rsid w:val="0022004A"/>
    <w:rsid w:val="00224DE5"/>
    <w:rsid w:val="00230EE6"/>
    <w:rsid w:val="002400A3"/>
    <w:rsid w:val="002570DB"/>
    <w:rsid w:val="002866B9"/>
    <w:rsid w:val="00294FEF"/>
    <w:rsid w:val="002E02E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F31F1"/>
    <w:rsid w:val="00515937"/>
    <w:rsid w:val="0054103C"/>
    <w:rsid w:val="00591FEC"/>
    <w:rsid w:val="005D68B9"/>
    <w:rsid w:val="005F1782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B1ACF"/>
    <w:rsid w:val="006B3EC9"/>
    <w:rsid w:val="006B54BC"/>
    <w:rsid w:val="006B75E0"/>
    <w:rsid w:val="006F3B11"/>
    <w:rsid w:val="0070225A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B3AE7"/>
    <w:rsid w:val="007C1EB5"/>
    <w:rsid w:val="007D0FAC"/>
    <w:rsid w:val="007D2EA6"/>
    <w:rsid w:val="00804114"/>
    <w:rsid w:val="00846404"/>
    <w:rsid w:val="008567D3"/>
    <w:rsid w:val="00871D5C"/>
    <w:rsid w:val="00876AB8"/>
    <w:rsid w:val="00881B52"/>
    <w:rsid w:val="008A1CFF"/>
    <w:rsid w:val="008C45D5"/>
    <w:rsid w:val="008E071D"/>
    <w:rsid w:val="008E561B"/>
    <w:rsid w:val="00967B99"/>
    <w:rsid w:val="009A1000"/>
    <w:rsid w:val="009A16B8"/>
    <w:rsid w:val="009B7EBF"/>
    <w:rsid w:val="009D579C"/>
    <w:rsid w:val="009F5C5F"/>
    <w:rsid w:val="00A2527F"/>
    <w:rsid w:val="00A465C1"/>
    <w:rsid w:val="00A7353B"/>
    <w:rsid w:val="00A93E09"/>
    <w:rsid w:val="00A97719"/>
    <w:rsid w:val="00AA7132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BF4508"/>
    <w:rsid w:val="00BF7DF0"/>
    <w:rsid w:val="00C01423"/>
    <w:rsid w:val="00C0548A"/>
    <w:rsid w:val="00C10C8E"/>
    <w:rsid w:val="00C2078B"/>
    <w:rsid w:val="00C52FBA"/>
    <w:rsid w:val="00C534BC"/>
    <w:rsid w:val="00C56E53"/>
    <w:rsid w:val="00C6636A"/>
    <w:rsid w:val="00C66598"/>
    <w:rsid w:val="00C80050"/>
    <w:rsid w:val="00C93107"/>
    <w:rsid w:val="00C97525"/>
    <w:rsid w:val="00CA5A7B"/>
    <w:rsid w:val="00CB78BD"/>
    <w:rsid w:val="00CC60E9"/>
    <w:rsid w:val="00D14A0A"/>
    <w:rsid w:val="00D32AC1"/>
    <w:rsid w:val="00D43E66"/>
    <w:rsid w:val="00D4658F"/>
    <w:rsid w:val="00D51B6E"/>
    <w:rsid w:val="00D53C7D"/>
    <w:rsid w:val="00D56301"/>
    <w:rsid w:val="00D616CA"/>
    <w:rsid w:val="00D74B47"/>
    <w:rsid w:val="00D908E7"/>
    <w:rsid w:val="00D97ACD"/>
    <w:rsid w:val="00DA6E3B"/>
    <w:rsid w:val="00DF1791"/>
    <w:rsid w:val="00DF5092"/>
    <w:rsid w:val="00DF69A8"/>
    <w:rsid w:val="00E167F1"/>
    <w:rsid w:val="00E4051F"/>
    <w:rsid w:val="00E5588F"/>
    <w:rsid w:val="00E85B53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8A5D56B2-738F-4786-9F21-24B7BD11BE40}"/>
</file>

<file path=customXml/itemProps3.xml><?xml version="1.0" encoding="utf-8"?>
<ds:datastoreItem xmlns:ds="http://schemas.openxmlformats.org/officeDocument/2006/customXml" ds:itemID="{2C19F1FF-9665-406A-8EC2-C130EBC6C3B6}"/>
</file>

<file path=customXml/itemProps4.xml><?xml version="1.0" encoding="utf-8"?>
<ds:datastoreItem xmlns:ds="http://schemas.openxmlformats.org/officeDocument/2006/customXml" ds:itemID="{E992ADFB-FB58-469C-B748-0942CAF2E7AC}"/>
</file>

<file path=customXml/itemProps5.xml><?xml version="1.0" encoding="utf-8"?>
<ds:datastoreItem xmlns:ds="http://schemas.openxmlformats.org/officeDocument/2006/customXml" ds:itemID="{4751026C-F1F8-43C2-81B5-11CFAB697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6</cp:revision>
  <cp:lastPrinted>2022-11-08T15:09:00Z</cp:lastPrinted>
  <dcterms:created xsi:type="dcterms:W3CDTF">2023-01-29T11:16:00Z</dcterms:created>
  <dcterms:modified xsi:type="dcterms:W3CDTF">2023-01-29T11:42:00Z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