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2E9D" w14:textId="77777777" w:rsidR="00042F08" w:rsidRDefault="00042F08" w:rsidP="00042F08">
      <w:pPr>
        <w:rPr>
          <w:rFonts w:asciiTheme="majorBidi" w:hAnsiTheme="majorBidi" w:cstheme="majorBidi"/>
          <w:b/>
          <w:bCs/>
          <w:szCs w:val="28"/>
        </w:rPr>
      </w:pPr>
    </w:p>
    <w:p w14:paraId="52FB28BB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ind w:left="142"/>
        <w:jc w:val="center"/>
        <w:rPr>
          <w:rFonts w:ascii="Arial Narrow" w:hAnsi="Arial Narrow"/>
          <w:b/>
          <w:u w:val="single"/>
        </w:rPr>
      </w:pPr>
      <w:r w:rsidRPr="00923BC4">
        <w:rPr>
          <w:rFonts w:ascii="Calibri" w:hAnsi="Calibri" w:cs="Arial"/>
          <w:noProof/>
          <w:sz w:val="22"/>
          <w:lang w:val="fr-FR" w:eastAsia="fr-FR"/>
        </w:rPr>
        <w:drawing>
          <wp:inline distT="0" distB="0" distL="0" distR="0" wp14:anchorId="4D97397C" wp14:editId="3D85265C">
            <wp:extent cx="741658" cy="708660"/>
            <wp:effectExtent l="0" t="0" r="1905" b="0"/>
            <wp:docPr id="1694" name="Image 1093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79" cy="7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7A6F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jc w:val="center"/>
        <w:rPr>
          <w:bCs/>
          <w:sz w:val="40"/>
          <w:szCs w:val="40"/>
          <w:rtl/>
          <w:lang w:bidi="ar-DZ"/>
        </w:rPr>
      </w:pPr>
      <w:r w:rsidRPr="00923BC4">
        <w:rPr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78A3A865" w14:textId="77777777" w:rsidR="00042F08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jc w:val="center"/>
        <w:rPr>
          <w:rFonts w:ascii="Maiandra GD" w:hAnsi="Maiandra GD"/>
          <w:b/>
          <w:sz w:val="26"/>
          <w:szCs w:val="26"/>
          <w:lang w:bidi="ar-DZ"/>
        </w:rPr>
      </w:pPr>
      <w:r w:rsidRPr="002D61F3">
        <w:rPr>
          <w:rFonts w:ascii="Maiandra GD" w:hAnsi="Maiandra GD"/>
          <w:b/>
          <w:sz w:val="26"/>
          <w:szCs w:val="26"/>
          <w:lang w:bidi="ar-DZ"/>
        </w:rPr>
        <w:t>REPUBLIQUE ALGERIENNE DEMOCRATIQUE ET POPULAIRE</w:t>
      </w:r>
    </w:p>
    <w:p w14:paraId="3980341C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rPr>
          <w:b/>
          <w:sz w:val="22"/>
          <w:lang w:bidi="ar-DZ"/>
        </w:rPr>
      </w:pP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042F08" w:rsidRPr="00923BC4" w14:paraId="63479E77" w14:textId="77777777" w:rsidTr="00FF68F5">
        <w:tc>
          <w:tcPr>
            <w:tcW w:w="4962" w:type="dxa"/>
          </w:tcPr>
          <w:p w14:paraId="065BF51C" w14:textId="77777777" w:rsidR="00042F08" w:rsidRPr="0019690E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lang w:bidi="ar-DZ"/>
              </w:rPr>
            </w:pPr>
            <w:r w:rsidRPr="0019690E">
              <w:rPr>
                <w:rFonts w:ascii="Maiandra GD" w:hAnsi="Maiandra GD"/>
                <w:b/>
                <w:lang w:bidi="ar-DZ"/>
              </w:rPr>
              <w:t>Mission Permanente d’Algérie</w:t>
            </w:r>
          </w:p>
          <w:p w14:paraId="10D6EBF9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lang w:bidi="ar-DZ"/>
              </w:rPr>
            </w:pPr>
            <w:proofErr w:type="gramStart"/>
            <w:r w:rsidRPr="003C0557">
              <w:rPr>
                <w:rFonts w:ascii="Maiandra GD" w:hAnsi="Maiandra GD"/>
                <w:b/>
                <w:lang w:bidi="ar-DZ"/>
              </w:rPr>
              <w:t>auprès</w:t>
            </w:r>
            <w:proofErr w:type="gramEnd"/>
            <w:r w:rsidRPr="003C0557">
              <w:rPr>
                <w:rFonts w:ascii="Maiandra GD" w:hAnsi="Maiandra GD"/>
                <w:b/>
                <w:lang w:bidi="ar-DZ"/>
              </w:rPr>
              <w:t xml:space="preserve"> de l’Office des Nations Unies </w:t>
            </w:r>
          </w:p>
          <w:p w14:paraId="202756CC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rtl/>
                <w:lang w:bidi="ar-DZ"/>
              </w:rPr>
            </w:pPr>
            <w:proofErr w:type="gramStart"/>
            <w:r w:rsidRPr="003C0557">
              <w:rPr>
                <w:rFonts w:ascii="Maiandra GD" w:hAnsi="Maiandra GD"/>
                <w:b/>
                <w:lang w:bidi="ar-DZ"/>
              </w:rPr>
              <w:t>à</w:t>
            </w:r>
            <w:proofErr w:type="gramEnd"/>
            <w:r w:rsidRPr="003C0557">
              <w:rPr>
                <w:rFonts w:ascii="Maiandra GD" w:hAnsi="Maiandra GD"/>
                <w:b/>
                <w:lang w:bidi="ar-DZ"/>
              </w:rPr>
              <w:t xml:space="preserve"> Genève et des Organisations</w:t>
            </w:r>
          </w:p>
          <w:p w14:paraId="20399173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rtl/>
                <w:lang w:bidi="ar-DZ"/>
              </w:rPr>
            </w:pPr>
            <w:r w:rsidRPr="003C0557">
              <w:rPr>
                <w:rFonts w:ascii="Maiandra GD" w:hAnsi="Maiandra GD"/>
                <w:b/>
                <w:lang w:bidi="ar-DZ"/>
              </w:rPr>
              <w:t xml:space="preserve"> Internationales en Suisse</w:t>
            </w:r>
          </w:p>
          <w:p w14:paraId="5B8DAB3D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4EF216B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44E1F30B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2B35B96D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47174890" w14:textId="77777777" w:rsidR="00042F08" w:rsidRPr="00923BC4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>والمنظمات الدولية بسويسرا</w:t>
            </w:r>
          </w:p>
        </w:tc>
      </w:tr>
    </w:tbl>
    <w:p w14:paraId="03705CC3" w14:textId="77777777" w:rsidR="00042F08" w:rsidRDefault="00042F08" w:rsidP="00896B58">
      <w:pPr>
        <w:rPr>
          <w:rFonts w:asciiTheme="majorBidi" w:hAnsiTheme="majorBidi" w:cstheme="majorBidi"/>
          <w:b/>
          <w:bCs/>
          <w:szCs w:val="28"/>
        </w:rPr>
      </w:pPr>
    </w:p>
    <w:p w14:paraId="2A2D0DE8" w14:textId="7B8DA142" w:rsidR="00042F08" w:rsidRPr="00E4072C" w:rsidRDefault="00042F08" w:rsidP="00042F08">
      <w:pPr>
        <w:jc w:val="center"/>
        <w:rPr>
          <w:rFonts w:asciiTheme="majorBidi" w:hAnsiTheme="majorBidi" w:cstheme="majorBidi"/>
          <w:b/>
          <w:bCs/>
          <w:szCs w:val="28"/>
        </w:rPr>
      </w:pPr>
      <w:r w:rsidRPr="00E4072C">
        <w:rPr>
          <w:rFonts w:asciiTheme="majorBidi" w:hAnsiTheme="majorBidi" w:cstheme="majorBidi"/>
          <w:b/>
          <w:bCs/>
          <w:szCs w:val="28"/>
        </w:rPr>
        <w:t>Statement of the Algerian delegation</w:t>
      </w:r>
    </w:p>
    <w:p w14:paraId="1D7B491C" w14:textId="319E9589" w:rsidR="00042F08" w:rsidRPr="00E4072C" w:rsidRDefault="00042F08" w:rsidP="00042F08">
      <w:pPr>
        <w:jc w:val="center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42</w:t>
      </w:r>
      <w:r w:rsidRPr="00E4072C">
        <w:rPr>
          <w:rFonts w:asciiTheme="majorBidi" w:hAnsiTheme="majorBidi" w:cstheme="majorBidi"/>
          <w:b/>
          <w:bCs/>
          <w:szCs w:val="28"/>
          <w:vertAlign w:val="superscript"/>
        </w:rPr>
        <w:t>th</w:t>
      </w:r>
      <w:r w:rsidRPr="00E4072C">
        <w:rPr>
          <w:rFonts w:asciiTheme="majorBidi" w:hAnsiTheme="majorBidi" w:cstheme="majorBidi"/>
          <w:b/>
          <w:bCs/>
          <w:szCs w:val="28"/>
        </w:rPr>
        <w:t xml:space="preserve"> session of the Working Group on the Universal Periodic Review</w:t>
      </w:r>
    </w:p>
    <w:p w14:paraId="24B0E46C" w14:textId="63C1AEE8" w:rsidR="00275158" w:rsidRPr="00042F08" w:rsidRDefault="00042F08" w:rsidP="00042F08">
      <w:pPr>
        <w:jc w:val="center"/>
        <w:rPr>
          <w:rFonts w:asciiTheme="majorBidi" w:hAnsiTheme="majorBidi" w:cstheme="majorBidi"/>
          <w:b/>
          <w:bCs/>
          <w:szCs w:val="28"/>
        </w:rPr>
      </w:pPr>
      <w:r w:rsidRPr="00E4072C">
        <w:rPr>
          <w:rFonts w:asciiTheme="majorBidi" w:hAnsiTheme="majorBidi" w:cstheme="majorBidi"/>
          <w:b/>
          <w:bCs/>
          <w:szCs w:val="28"/>
        </w:rPr>
        <w:t xml:space="preserve">UPR of </w:t>
      </w:r>
      <w:r w:rsidR="00E8123B">
        <w:rPr>
          <w:rFonts w:asciiTheme="majorBidi" w:hAnsiTheme="majorBidi" w:cstheme="majorBidi"/>
          <w:b/>
          <w:bCs/>
          <w:szCs w:val="28"/>
        </w:rPr>
        <w:t>Ghana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2F84A762" w:rsidR="00275158" w:rsidRPr="00BE638B" w:rsidRDefault="00267859" w:rsidP="00275158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2</w:t>
      </w:r>
      <w:r w:rsidR="00E8123B">
        <w:rPr>
          <w:rFonts w:ascii="Arial" w:hAnsi="Arial" w:cs="Arial"/>
          <w:i/>
          <w:sz w:val="24"/>
          <w:szCs w:val="24"/>
          <w:lang w:val="en-GB"/>
        </w:rPr>
        <w:t>4</w:t>
      </w:r>
      <w:r>
        <w:rPr>
          <w:rFonts w:ascii="Arial" w:hAnsi="Arial" w:cs="Arial"/>
          <w:i/>
          <w:sz w:val="24"/>
          <w:szCs w:val="24"/>
          <w:lang w:val="en-GB"/>
        </w:rPr>
        <w:t xml:space="preserve"> January 2023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1E74F63A" w:rsidR="002F29DE" w:rsidRPr="00C1063E" w:rsidRDefault="002F29DE" w:rsidP="002F29DE">
      <w:pPr>
        <w:jc w:val="both"/>
      </w:pPr>
      <w:r w:rsidRPr="00C1063E">
        <w:t>Mr. President,</w:t>
      </w:r>
    </w:p>
    <w:p w14:paraId="5F503E02" w14:textId="77777777" w:rsidR="00E8123B" w:rsidRDefault="00E8123B" w:rsidP="00E8123B">
      <w:pPr>
        <w:jc w:val="both"/>
        <w:rPr>
          <w:rFonts w:cs="Times New Roman"/>
        </w:rPr>
      </w:pPr>
    </w:p>
    <w:p w14:paraId="14015FF6" w14:textId="77777777" w:rsidR="00E8123B" w:rsidRDefault="00E8123B" w:rsidP="00E8123B">
      <w:pPr>
        <w:jc w:val="both"/>
        <w:rPr>
          <w:rFonts w:cs="Times New Roman"/>
        </w:rPr>
      </w:pPr>
      <w:r>
        <w:rPr>
          <w:rFonts w:cs="Times New Roman"/>
        </w:rPr>
        <w:t>Algeria</w:t>
      </w:r>
      <w:r>
        <w:rPr>
          <w:rFonts w:cs="Times New Roman"/>
        </w:rPr>
        <w:t xml:space="preserve"> expresses its gratitude to the </w:t>
      </w:r>
      <w:r>
        <w:rPr>
          <w:rFonts w:cs="Times New Roman"/>
          <w:szCs w:val="28"/>
        </w:rPr>
        <w:t xml:space="preserve">delegation of Ghana for the comprehensive National report the delegation presented to us. </w:t>
      </w:r>
      <w:r>
        <w:rPr>
          <w:rFonts w:cs="Times New Roman"/>
          <w:szCs w:val="28"/>
        </w:rPr>
        <w:t>We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welcome</w:t>
      </w:r>
      <w:r>
        <w:rPr>
          <w:rFonts w:cs="Times New Roman"/>
          <w:szCs w:val="28"/>
        </w:rPr>
        <w:t xml:space="preserve"> Ghana commitment to the Universal Periodic Review Process and its efforts to implement recommendations received, despite economic challenges.</w:t>
      </w:r>
    </w:p>
    <w:p w14:paraId="72C79FFD" w14:textId="77777777" w:rsidR="00E8123B" w:rsidRPr="008941A5" w:rsidRDefault="00E8123B" w:rsidP="00E8123B">
      <w:pPr>
        <w:jc w:val="both"/>
        <w:rPr>
          <w:rFonts w:cs="Times New Roman"/>
          <w:sz w:val="18"/>
          <w:szCs w:val="14"/>
        </w:rPr>
      </w:pPr>
    </w:p>
    <w:p w14:paraId="1E85EC28" w14:textId="53B254DD" w:rsidR="00E8123B" w:rsidRDefault="00E8123B" w:rsidP="00E8123B">
      <w:pPr>
        <w:jc w:val="both"/>
        <w:rPr>
          <w:rFonts w:cs="Times New Roman"/>
          <w:szCs w:val="28"/>
        </w:rPr>
      </w:pPr>
    </w:p>
    <w:p w14:paraId="402DE346" w14:textId="17369062" w:rsidR="008941A5" w:rsidRDefault="00295F24" w:rsidP="00295F24">
      <w:pPr>
        <w:jc w:val="both"/>
      </w:pPr>
      <w:r w:rsidRPr="00C1063E">
        <w:t xml:space="preserve">We recommend to </w:t>
      </w:r>
      <w:r w:rsidR="008941A5">
        <w:t>Ghana</w:t>
      </w:r>
      <w:r w:rsidRPr="00C1063E">
        <w:t xml:space="preserve">:  </w:t>
      </w:r>
    </w:p>
    <w:p w14:paraId="234DBCAC" w14:textId="77777777" w:rsidR="008941A5" w:rsidRDefault="008941A5" w:rsidP="00295F24">
      <w:pPr>
        <w:jc w:val="both"/>
      </w:pPr>
    </w:p>
    <w:p w14:paraId="0FF6EFE8" w14:textId="64F6F761" w:rsidR="001F08D6" w:rsidRDefault="008941A5" w:rsidP="008941A5">
      <w:pPr>
        <w:pStyle w:val="Paragraphedeliste"/>
        <w:numPr>
          <w:ilvl w:val="0"/>
          <w:numId w:val="23"/>
        </w:numPr>
        <w:jc w:val="both"/>
        <w:rPr>
          <w:rFonts w:cs="Times New Roman"/>
          <w:szCs w:val="28"/>
        </w:rPr>
      </w:pPr>
      <w:r w:rsidRPr="008941A5">
        <w:rPr>
          <w:rFonts w:cs="Times New Roman"/>
          <w:szCs w:val="28"/>
        </w:rPr>
        <w:t xml:space="preserve">Consider ratifying </w:t>
      </w:r>
      <w:r w:rsidRPr="008941A5">
        <w:rPr>
          <w:rFonts w:cs="Times New Roman"/>
          <w:szCs w:val="28"/>
        </w:rPr>
        <w:t xml:space="preserve">the Optional Protocol to the Convention on the Rights of the Child on the sale of children, child prostitution and child </w:t>
      </w:r>
      <w:r w:rsidR="001F08D6" w:rsidRPr="008941A5">
        <w:rPr>
          <w:rFonts w:cs="Times New Roman"/>
          <w:szCs w:val="28"/>
        </w:rPr>
        <w:t>pornography,</w:t>
      </w:r>
    </w:p>
    <w:p w14:paraId="57801619" w14:textId="3C9735C7" w:rsidR="00295F24" w:rsidRPr="001F08D6" w:rsidRDefault="00295F24" w:rsidP="001F08D6">
      <w:pPr>
        <w:pStyle w:val="Paragraphedeliste"/>
        <w:jc w:val="both"/>
        <w:rPr>
          <w:rFonts w:cs="Times New Roman"/>
          <w:sz w:val="14"/>
          <w:szCs w:val="14"/>
        </w:rPr>
      </w:pPr>
      <w:r w:rsidRPr="001F08D6">
        <w:rPr>
          <w:rFonts w:cs="Times New Roman"/>
          <w:sz w:val="14"/>
          <w:szCs w:val="14"/>
        </w:rPr>
        <w:t xml:space="preserve">  </w:t>
      </w:r>
    </w:p>
    <w:p w14:paraId="49A0DE8F" w14:textId="77777777" w:rsidR="00E8123B" w:rsidRPr="008941A5" w:rsidRDefault="00E8123B" w:rsidP="00E8123B">
      <w:pPr>
        <w:jc w:val="both"/>
        <w:rPr>
          <w:rFonts w:cs="Times New Roman"/>
          <w:sz w:val="4"/>
          <w:szCs w:val="4"/>
        </w:rPr>
      </w:pPr>
    </w:p>
    <w:p w14:paraId="3096C69B" w14:textId="145004C5" w:rsidR="00E8123B" w:rsidRDefault="00295F24" w:rsidP="00295F24">
      <w:pPr>
        <w:pStyle w:val="Paragraphedeliste"/>
        <w:numPr>
          <w:ilvl w:val="0"/>
          <w:numId w:val="2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</w:t>
      </w:r>
      <w:r w:rsidR="00E8123B" w:rsidRPr="00295F24">
        <w:rPr>
          <w:rFonts w:cs="Times New Roman"/>
          <w:szCs w:val="28"/>
        </w:rPr>
        <w:t xml:space="preserve">ontinue its endeavors to increase the quality and availability of education at all levels.  </w:t>
      </w:r>
    </w:p>
    <w:p w14:paraId="5CD3B61B" w14:textId="77777777" w:rsidR="001F08D6" w:rsidRPr="001F08D6" w:rsidRDefault="001F08D6" w:rsidP="001F08D6">
      <w:pPr>
        <w:pStyle w:val="Paragraphedeliste"/>
        <w:jc w:val="both"/>
        <w:rPr>
          <w:rFonts w:cs="Times New Roman"/>
          <w:sz w:val="16"/>
          <w:szCs w:val="16"/>
        </w:rPr>
      </w:pPr>
    </w:p>
    <w:p w14:paraId="2C14E0CE" w14:textId="64A9CD66" w:rsidR="008941A5" w:rsidRPr="00295F24" w:rsidRDefault="008941A5" w:rsidP="00295F24">
      <w:pPr>
        <w:pStyle w:val="Paragraphedeliste"/>
        <w:numPr>
          <w:ilvl w:val="0"/>
          <w:numId w:val="23"/>
        </w:numPr>
        <w:jc w:val="both"/>
        <w:rPr>
          <w:rFonts w:cs="Times New Roman"/>
          <w:szCs w:val="28"/>
        </w:rPr>
      </w:pPr>
      <w:r w:rsidRPr="008941A5">
        <w:rPr>
          <w:rFonts w:cs="Times New Roman"/>
          <w:szCs w:val="28"/>
        </w:rPr>
        <w:t xml:space="preserve">Continue its efforts </w:t>
      </w:r>
      <w:r w:rsidR="001F08D6" w:rsidRPr="008941A5">
        <w:rPr>
          <w:rFonts w:cs="Times New Roman"/>
          <w:szCs w:val="28"/>
        </w:rPr>
        <w:t>in applying</w:t>
      </w:r>
      <w:r w:rsidRPr="008941A5">
        <w:rPr>
          <w:rFonts w:cs="Times New Roman"/>
          <w:szCs w:val="28"/>
        </w:rPr>
        <w:t xml:space="preserve"> and reinforcing </w:t>
      </w:r>
      <w:proofErr w:type="spellStart"/>
      <w:r w:rsidRPr="008941A5">
        <w:rPr>
          <w:rFonts w:cs="Times New Roman"/>
          <w:szCs w:val="28"/>
        </w:rPr>
        <w:t>programmes</w:t>
      </w:r>
      <w:proofErr w:type="spellEnd"/>
      <w:r w:rsidRPr="008941A5">
        <w:rPr>
          <w:rFonts w:cs="Times New Roman"/>
          <w:szCs w:val="28"/>
        </w:rPr>
        <w:t xml:space="preserve"> and public policies on inclusion, poverty reduction, equality promotion, and non-discrimination, with particular attention to women, children, elderly and persons with disabilities, among other vulnerable groups</w:t>
      </w:r>
      <w:r>
        <w:rPr>
          <w:rFonts w:cs="Times New Roman"/>
          <w:szCs w:val="28"/>
        </w:rPr>
        <w:t>.</w:t>
      </w:r>
    </w:p>
    <w:p w14:paraId="234DED8B" w14:textId="77777777" w:rsidR="00E8123B" w:rsidRDefault="00E8123B" w:rsidP="00E8123B">
      <w:pPr>
        <w:jc w:val="both"/>
        <w:rPr>
          <w:rFonts w:cs="Times New Roman"/>
          <w:szCs w:val="28"/>
        </w:rPr>
      </w:pPr>
    </w:p>
    <w:p w14:paraId="7F9EC10A" w14:textId="77777777" w:rsidR="00E8123B" w:rsidRDefault="00E8123B" w:rsidP="00E8123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In conclusion, we wish the delegation of Ghana a successful review.</w:t>
      </w:r>
    </w:p>
    <w:p w14:paraId="08608AC8" w14:textId="77777777" w:rsidR="00E8123B" w:rsidRDefault="00E8123B" w:rsidP="00E8123B">
      <w:pPr>
        <w:jc w:val="both"/>
        <w:rPr>
          <w:rFonts w:cs="Times New Roman"/>
          <w:szCs w:val="28"/>
        </w:rPr>
      </w:pPr>
    </w:p>
    <w:p w14:paraId="7AB8CEBA" w14:textId="77777777" w:rsidR="00E8123B" w:rsidRDefault="00E8123B" w:rsidP="00E8123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Thank you. </w:t>
      </w:r>
    </w:p>
    <w:p w14:paraId="11CEB9A5" w14:textId="77777777" w:rsidR="007B4DEC" w:rsidRPr="00C1063E" w:rsidRDefault="007B4DEC" w:rsidP="00267859">
      <w:pPr>
        <w:jc w:val="both"/>
      </w:pPr>
    </w:p>
    <w:p w14:paraId="5028E698" w14:textId="61A5930E" w:rsidR="00896B58" w:rsidRDefault="00896B58" w:rsidP="00896B5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 xml:space="preserve">01 minute and </w:t>
      </w:r>
      <w:r w:rsidR="001F08D6">
        <w:rPr>
          <w:rFonts w:ascii="Calibri" w:hAnsi="Calibri" w:cs="Calibri"/>
          <w:b/>
          <w:noProof/>
          <w:sz w:val="26"/>
          <w:szCs w:val="26"/>
        </w:rPr>
        <w:t>0</w:t>
      </w:r>
      <w:r>
        <w:rPr>
          <w:rFonts w:ascii="Calibri" w:hAnsi="Calibri" w:cs="Calibri"/>
          <w:b/>
          <w:noProof/>
          <w:sz w:val="26"/>
          <w:szCs w:val="26"/>
        </w:rPr>
        <w:t>5 seconds</w:t>
      </w:r>
    </w:p>
    <w:p w14:paraId="32DDECB3" w14:textId="77777777" w:rsidR="00896B58" w:rsidRPr="00C1063E" w:rsidRDefault="00896B58" w:rsidP="002F29DE">
      <w:pPr>
        <w:jc w:val="both"/>
      </w:pPr>
    </w:p>
    <w:sectPr w:rsidR="00896B58" w:rsidRPr="00C1063E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D9D2" w14:textId="77777777" w:rsidR="002E63BD" w:rsidRDefault="002E63BD">
      <w:r>
        <w:separator/>
      </w:r>
    </w:p>
  </w:endnote>
  <w:endnote w:type="continuationSeparator" w:id="0">
    <w:p w14:paraId="36124EFE" w14:textId="77777777" w:rsidR="002E63BD" w:rsidRDefault="002E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8421" w14:textId="77777777" w:rsidR="002E63BD" w:rsidRDefault="002E63BD">
      <w:r>
        <w:separator/>
      </w:r>
    </w:p>
  </w:footnote>
  <w:footnote w:type="continuationSeparator" w:id="0">
    <w:p w14:paraId="140BF782" w14:textId="77777777" w:rsidR="002E63BD" w:rsidRDefault="002E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7719"/>
    <w:multiLevelType w:val="hybridMultilevel"/>
    <w:tmpl w:val="233E8926"/>
    <w:lvl w:ilvl="0" w:tplc="694636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57A219E7"/>
    <w:multiLevelType w:val="hybridMultilevel"/>
    <w:tmpl w:val="A8540898"/>
    <w:lvl w:ilvl="0" w:tplc="9C389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3594">
    <w:abstractNumId w:val="8"/>
  </w:num>
  <w:num w:numId="2" w16cid:durableId="1326470301">
    <w:abstractNumId w:val="17"/>
  </w:num>
  <w:num w:numId="3" w16cid:durableId="1110736681">
    <w:abstractNumId w:val="15"/>
  </w:num>
  <w:num w:numId="4" w16cid:durableId="1645617121">
    <w:abstractNumId w:val="16"/>
  </w:num>
  <w:num w:numId="5" w16cid:durableId="20210098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2037017">
    <w:abstractNumId w:val="0"/>
  </w:num>
  <w:num w:numId="7" w16cid:durableId="1765564722">
    <w:abstractNumId w:val="22"/>
  </w:num>
  <w:num w:numId="8" w16cid:durableId="1213269834">
    <w:abstractNumId w:val="14"/>
  </w:num>
  <w:num w:numId="9" w16cid:durableId="499659247">
    <w:abstractNumId w:val="7"/>
  </w:num>
  <w:num w:numId="10" w16cid:durableId="1392921443">
    <w:abstractNumId w:val="20"/>
  </w:num>
  <w:num w:numId="11" w16cid:durableId="1105153618">
    <w:abstractNumId w:val="5"/>
  </w:num>
  <w:num w:numId="12" w16cid:durableId="1572934003">
    <w:abstractNumId w:val="13"/>
  </w:num>
  <w:num w:numId="13" w16cid:durableId="1848640929">
    <w:abstractNumId w:val="2"/>
  </w:num>
  <w:num w:numId="14" w16cid:durableId="2066641639">
    <w:abstractNumId w:val="9"/>
  </w:num>
  <w:num w:numId="15" w16cid:durableId="1588487">
    <w:abstractNumId w:val="21"/>
  </w:num>
  <w:num w:numId="16" w16cid:durableId="1579092920">
    <w:abstractNumId w:val="10"/>
  </w:num>
  <w:num w:numId="17" w16cid:durableId="675230147">
    <w:abstractNumId w:val="11"/>
  </w:num>
  <w:num w:numId="18" w16cid:durableId="1110471582">
    <w:abstractNumId w:val="19"/>
  </w:num>
  <w:num w:numId="19" w16cid:durableId="1955212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8371650">
    <w:abstractNumId w:val="12"/>
  </w:num>
  <w:num w:numId="21" w16cid:durableId="2073774095">
    <w:abstractNumId w:val="1"/>
  </w:num>
  <w:num w:numId="22" w16cid:durableId="1425759909">
    <w:abstractNumId w:val="6"/>
  </w:num>
  <w:num w:numId="23" w16cid:durableId="9740687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qQUA67M+2CwAAAA="/>
  </w:docVars>
  <w:rsids>
    <w:rsidRoot w:val="006D3C72"/>
    <w:rsid w:val="0000149B"/>
    <w:rsid w:val="00003F18"/>
    <w:rsid w:val="00005756"/>
    <w:rsid w:val="0002064B"/>
    <w:rsid w:val="000236C0"/>
    <w:rsid w:val="00040046"/>
    <w:rsid w:val="00042F08"/>
    <w:rsid w:val="0005437C"/>
    <w:rsid w:val="00070050"/>
    <w:rsid w:val="00084423"/>
    <w:rsid w:val="00086A62"/>
    <w:rsid w:val="00092FA1"/>
    <w:rsid w:val="000A7E3B"/>
    <w:rsid w:val="000B55F3"/>
    <w:rsid w:val="000C1DEF"/>
    <w:rsid w:val="000C7C2C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5472B"/>
    <w:rsid w:val="001632AB"/>
    <w:rsid w:val="00163F58"/>
    <w:rsid w:val="001654E3"/>
    <w:rsid w:val="0017614A"/>
    <w:rsid w:val="001919A8"/>
    <w:rsid w:val="001A1391"/>
    <w:rsid w:val="001A5F5C"/>
    <w:rsid w:val="001A6C00"/>
    <w:rsid w:val="001E2D31"/>
    <w:rsid w:val="001E30D1"/>
    <w:rsid w:val="001E7DB2"/>
    <w:rsid w:val="001F08D6"/>
    <w:rsid w:val="001F6B72"/>
    <w:rsid w:val="0020258B"/>
    <w:rsid w:val="00204BBC"/>
    <w:rsid w:val="002071DC"/>
    <w:rsid w:val="0021613C"/>
    <w:rsid w:val="002312CC"/>
    <w:rsid w:val="002445EA"/>
    <w:rsid w:val="00244881"/>
    <w:rsid w:val="00256EFE"/>
    <w:rsid w:val="00267859"/>
    <w:rsid w:val="0027059B"/>
    <w:rsid w:val="00274575"/>
    <w:rsid w:val="00275158"/>
    <w:rsid w:val="0028139E"/>
    <w:rsid w:val="002843D3"/>
    <w:rsid w:val="00286DD7"/>
    <w:rsid w:val="00293126"/>
    <w:rsid w:val="00295F24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5DB0"/>
    <w:rsid w:val="002E63BD"/>
    <w:rsid w:val="002E6B64"/>
    <w:rsid w:val="002F0F60"/>
    <w:rsid w:val="002F29DE"/>
    <w:rsid w:val="002F4705"/>
    <w:rsid w:val="002F5C0C"/>
    <w:rsid w:val="00303E4F"/>
    <w:rsid w:val="00305A05"/>
    <w:rsid w:val="003174DC"/>
    <w:rsid w:val="00324262"/>
    <w:rsid w:val="00324FBB"/>
    <w:rsid w:val="003340C7"/>
    <w:rsid w:val="00342DEC"/>
    <w:rsid w:val="00350AAF"/>
    <w:rsid w:val="00353BB5"/>
    <w:rsid w:val="00354EA4"/>
    <w:rsid w:val="003622CF"/>
    <w:rsid w:val="003624C5"/>
    <w:rsid w:val="00383E17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1C4F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B4DEC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06A1D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80C37"/>
    <w:rsid w:val="0088466C"/>
    <w:rsid w:val="008909E6"/>
    <w:rsid w:val="008941A5"/>
    <w:rsid w:val="008950C3"/>
    <w:rsid w:val="00896B58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360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1612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638B"/>
    <w:rsid w:val="00BE78E8"/>
    <w:rsid w:val="00BF0187"/>
    <w:rsid w:val="00BF23F3"/>
    <w:rsid w:val="00BF7BB1"/>
    <w:rsid w:val="00C02A51"/>
    <w:rsid w:val="00C0390B"/>
    <w:rsid w:val="00C1063E"/>
    <w:rsid w:val="00C1074B"/>
    <w:rsid w:val="00C169A7"/>
    <w:rsid w:val="00C17BBF"/>
    <w:rsid w:val="00C26257"/>
    <w:rsid w:val="00C326EF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A119F"/>
    <w:rsid w:val="00DB5A8F"/>
    <w:rsid w:val="00DC6D41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123B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15643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Sansinterligne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Paragraphedeliste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Policepardfau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634F46"/>
    <w:pPr>
      <w:ind w:left="720"/>
      <w:contextualSpacing/>
    </w:p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634F46"/>
  </w:style>
  <w:style w:type="character" w:customStyle="1" w:styleId="debate">
    <w:name w:val="debate"/>
    <w:basedOn w:val="Policepardfau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42622"/>
  </w:style>
  <w:style w:type="paragraph" w:styleId="Textedebulles">
    <w:name w:val="Balloon Text"/>
    <w:basedOn w:val="Normal"/>
    <w:link w:val="TextedebullesC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0B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10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63E"/>
  </w:style>
  <w:style w:type="table" w:styleId="Grilledutableau">
    <w:name w:val="Table Grid"/>
    <w:basedOn w:val="TableauNormal"/>
    <w:rsid w:val="00042F08"/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E583C-CF3F-48AF-890D-FBE5FE8CB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16792-2425-4EE1-8DC1-53A91BF90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CB819-4771-428B-8E5D-5435635FF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9D4C8-9B2B-46E7-B7F5-454B10F2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Ambassade d'Algérie</cp:lastModifiedBy>
  <cp:revision>2</cp:revision>
  <cp:lastPrinted>2023-01-23T16:39:00Z</cp:lastPrinted>
  <dcterms:created xsi:type="dcterms:W3CDTF">2023-01-23T16:56:00Z</dcterms:created>
  <dcterms:modified xsi:type="dcterms:W3CDTF">2023-01-23T16:56:00Z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