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2E9D" w14:textId="77777777" w:rsidR="00042F08" w:rsidRDefault="00042F08" w:rsidP="00042F08">
      <w:pPr>
        <w:rPr>
          <w:rFonts w:asciiTheme="majorBidi" w:hAnsiTheme="majorBidi" w:cstheme="majorBidi"/>
          <w:b/>
          <w:bCs/>
          <w:szCs w:val="28"/>
        </w:rPr>
      </w:pPr>
    </w:p>
    <w:p w14:paraId="52FB28BB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ind w:left="142"/>
        <w:jc w:val="center"/>
        <w:rPr>
          <w:rFonts w:ascii="Arial Narrow" w:hAnsi="Arial Narrow"/>
          <w:b/>
          <w:u w:val="single"/>
        </w:rPr>
      </w:pPr>
      <w:r w:rsidRPr="00923BC4">
        <w:rPr>
          <w:rFonts w:ascii="Calibri" w:hAnsi="Calibri" w:cs="Arial"/>
          <w:noProof/>
          <w:sz w:val="22"/>
          <w:lang w:val="fr-FR" w:eastAsia="fr-FR"/>
        </w:rPr>
        <w:drawing>
          <wp:inline distT="0" distB="0" distL="0" distR="0" wp14:anchorId="4D97397C" wp14:editId="3D85265C">
            <wp:extent cx="741658" cy="708660"/>
            <wp:effectExtent l="0" t="0" r="1905" b="0"/>
            <wp:docPr id="1694" name="Image 1093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9" cy="7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A6F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bCs/>
          <w:sz w:val="40"/>
          <w:szCs w:val="40"/>
          <w:rtl/>
          <w:lang w:bidi="ar-DZ"/>
        </w:rPr>
      </w:pPr>
      <w:r w:rsidRPr="00923BC4">
        <w:rPr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78A3A865" w14:textId="77777777" w:rsidR="00042F08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rFonts w:ascii="Maiandra GD" w:hAnsi="Maiandra GD"/>
          <w:b/>
          <w:sz w:val="26"/>
          <w:szCs w:val="26"/>
          <w:lang w:bidi="ar-DZ"/>
        </w:rPr>
      </w:pPr>
      <w:r w:rsidRPr="002D61F3">
        <w:rPr>
          <w:rFonts w:ascii="Maiandra GD" w:hAnsi="Maiandra GD"/>
          <w:b/>
          <w:sz w:val="26"/>
          <w:szCs w:val="26"/>
          <w:lang w:bidi="ar-DZ"/>
        </w:rPr>
        <w:t>REPUBLIQUE ALGERIENNE DEMOCRATIQUE ET POPULAIRE</w:t>
      </w:r>
    </w:p>
    <w:p w14:paraId="3980341C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rPr>
          <w:b/>
          <w:sz w:val="22"/>
          <w:lang w:bidi="ar-DZ"/>
        </w:rPr>
      </w:pP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42F08" w:rsidRPr="00923BC4" w14:paraId="63479E77" w14:textId="77777777" w:rsidTr="00FF68F5">
        <w:tc>
          <w:tcPr>
            <w:tcW w:w="4962" w:type="dxa"/>
          </w:tcPr>
          <w:p w14:paraId="065BF51C" w14:textId="77777777" w:rsidR="00042F08" w:rsidRPr="0019690E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r w:rsidRPr="0019690E">
              <w:rPr>
                <w:rFonts w:ascii="Maiandra GD" w:hAnsi="Maiandra GD"/>
                <w:b/>
                <w:lang w:bidi="ar-DZ"/>
              </w:rPr>
              <w:t>Mission Permanente d’Algérie</w:t>
            </w:r>
          </w:p>
          <w:p w14:paraId="10D6EBF9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auprès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de l’Office des Nations Unies </w:t>
            </w:r>
          </w:p>
          <w:p w14:paraId="202756CC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à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Genève et des Organisations</w:t>
            </w:r>
          </w:p>
          <w:p w14:paraId="20399173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r w:rsidRPr="003C0557">
              <w:rPr>
                <w:rFonts w:ascii="Maiandra GD" w:hAnsi="Maiandra GD"/>
                <w:b/>
                <w:lang w:bidi="ar-DZ"/>
              </w:rPr>
              <w:t xml:space="preserve"> Internationales en Suisse</w:t>
            </w:r>
          </w:p>
          <w:p w14:paraId="5B8DAB3D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4EF216B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44E1F30B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2B35B96D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47174890" w14:textId="77777777" w:rsidR="00042F08" w:rsidRPr="00923BC4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والمنظمات الدولية بسويسرا</w:t>
            </w:r>
          </w:p>
        </w:tc>
      </w:tr>
    </w:tbl>
    <w:p w14:paraId="03705CC3" w14:textId="77777777" w:rsidR="00042F08" w:rsidRDefault="00042F08" w:rsidP="00896B58">
      <w:pPr>
        <w:rPr>
          <w:rFonts w:asciiTheme="majorBidi" w:hAnsiTheme="majorBidi" w:cstheme="majorBidi"/>
          <w:b/>
          <w:bCs/>
          <w:szCs w:val="28"/>
        </w:rPr>
      </w:pPr>
    </w:p>
    <w:p w14:paraId="2A2D0DE8" w14:textId="7B8DA142" w:rsidR="00042F08" w:rsidRPr="00E4072C" w:rsidRDefault="00042F08" w:rsidP="00042F08">
      <w:pPr>
        <w:jc w:val="center"/>
        <w:rPr>
          <w:rFonts w:asciiTheme="majorBidi" w:hAnsiTheme="majorBidi" w:cstheme="majorBidi"/>
          <w:b/>
          <w:bCs/>
          <w:szCs w:val="28"/>
        </w:rPr>
      </w:pPr>
      <w:r w:rsidRPr="00E4072C">
        <w:rPr>
          <w:rFonts w:asciiTheme="majorBidi" w:hAnsiTheme="majorBidi" w:cstheme="majorBidi"/>
          <w:b/>
          <w:bCs/>
          <w:szCs w:val="28"/>
        </w:rPr>
        <w:t>Statement of the Algerian delegation</w:t>
      </w:r>
    </w:p>
    <w:p w14:paraId="1D7B491C" w14:textId="319E9589" w:rsidR="00042F08" w:rsidRPr="00E4072C" w:rsidRDefault="00042F08" w:rsidP="00042F08">
      <w:pPr>
        <w:jc w:val="center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42</w:t>
      </w:r>
      <w:r w:rsidRPr="00E4072C">
        <w:rPr>
          <w:rFonts w:asciiTheme="majorBidi" w:hAnsiTheme="majorBidi" w:cstheme="majorBidi"/>
          <w:b/>
          <w:bCs/>
          <w:szCs w:val="28"/>
          <w:vertAlign w:val="superscript"/>
        </w:rPr>
        <w:t>th</w:t>
      </w:r>
      <w:r w:rsidRPr="00E4072C">
        <w:rPr>
          <w:rFonts w:asciiTheme="majorBidi" w:hAnsiTheme="majorBidi" w:cstheme="majorBidi"/>
          <w:b/>
          <w:bCs/>
          <w:szCs w:val="28"/>
        </w:rPr>
        <w:t xml:space="preserve"> session of the Working Group on the Universal Periodic Review</w:t>
      </w:r>
    </w:p>
    <w:p w14:paraId="24B0E46C" w14:textId="3778AD23" w:rsidR="00275158" w:rsidRPr="00042F08" w:rsidRDefault="00042F08" w:rsidP="00042F08">
      <w:pPr>
        <w:jc w:val="center"/>
        <w:rPr>
          <w:rFonts w:asciiTheme="majorBidi" w:hAnsiTheme="majorBidi" w:cstheme="majorBidi"/>
          <w:b/>
          <w:bCs/>
          <w:szCs w:val="28"/>
        </w:rPr>
      </w:pPr>
      <w:r w:rsidRPr="00E4072C">
        <w:rPr>
          <w:rFonts w:asciiTheme="majorBidi" w:hAnsiTheme="majorBidi" w:cstheme="majorBidi"/>
          <w:b/>
          <w:bCs/>
          <w:szCs w:val="28"/>
        </w:rPr>
        <w:t xml:space="preserve">UPR of </w:t>
      </w:r>
      <w:bookmarkStart w:id="0" w:name="_Hlk124700265"/>
      <w:r w:rsidRPr="00042F08">
        <w:rPr>
          <w:rFonts w:asciiTheme="majorBidi" w:hAnsiTheme="majorBidi" w:cstheme="majorBidi"/>
          <w:b/>
          <w:bCs/>
          <w:szCs w:val="28"/>
        </w:rPr>
        <w:t>Czechia</w:t>
      </w:r>
      <w:bookmarkEnd w:id="0"/>
      <w:r w:rsidRPr="00E4072C">
        <w:rPr>
          <w:rFonts w:asciiTheme="majorBidi" w:hAnsiTheme="majorBidi" w:cstheme="majorBidi"/>
          <w:b/>
          <w:bCs/>
          <w:szCs w:val="28"/>
        </w:rPr>
        <w:t xml:space="preserve"> 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4BB3CC7C" w:rsidR="00275158" w:rsidRPr="00BE638B" w:rsidRDefault="00267859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23 January 2023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1E74F63A" w:rsidR="002F29DE" w:rsidRPr="00C1063E" w:rsidRDefault="002F29DE" w:rsidP="002F29DE">
      <w:pPr>
        <w:jc w:val="both"/>
      </w:pPr>
      <w:r w:rsidRPr="00C1063E">
        <w:t>Mr. President,</w:t>
      </w:r>
    </w:p>
    <w:p w14:paraId="1BF059FF" w14:textId="33FC92D8" w:rsidR="002F29DE" w:rsidRPr="00C1063E" w:rsidRDefault="00267859" w:rsidP="002F29DE">
      <w:pPr>
        <w:jc w:val="both"/>
      </w:pPr>
      <w:r w:rsidRPr="00C1063E">
        <w:t>Algeria</w:t>
      </w:r>
      <w:r w:rsidR="002F29DE" w:rsidRPr="00C1063E">
        <w:t xml:space="preserve"> </w:t>
      </w:r>
      <w:r w:rsidR="003174DC" w:rsidRPr="00C1063E">
        <w:t xml:space="preserve">warmly </w:t>
      </w:r>
      <w:r w:rsidR="002F29DE" w:rsidRPr="00C1063E">
        <w:t xml:space="preserve">welcomes the Delegation of </w:t>
      </w:r>
      <w:r w:rsidRPr="00C1063E">
        <w:t>Czechia</w:t>
      </w:r>
      <w:r w:rsidR="002F29DE" w:rsidRPr="00C1063E">
        <w:t xml:space="preserve"> and thanks for the presentation of the national report </w:t>
      </w:r>
      <w:r w:rsidR="0021613C" w:rsidRPr="00C1063E">
        <w:t>reflecting</w:t>
      </w:r>
      <w:r w:rsidR="002F29DE" w:rsidRPr="00C1063E">
        <w:t xml:space="preserve"> </w:t>
      </w:r>
      <w:r w:rsidR="00BE638B" w:rsidRPr="00C1063E">
        <w:t xml:space="preserve">the steps taken by the Government for the implementation </w:t>
      </w:r>
      <w:r w:rsidR="002F29DE" w:rsidRPr="00C1063E">
        <w:t>of the recommendations from the</w:t>
      </w:r>
      <w:r w:rsidR="00BE638B" w:rsidRPr="00C1063E">
        <w:t xml:space="preserve"> third </w:t>
      </w:r>
      <w:r w:rsidR="0021613C" w:rsidRPr="00C1063E">
        <w:t xml:space="preserve">UPR </w:t>
      </w:r>
      <w:r w:rsidR="002F29DE" w:rsidRPr="00C1063E">
        <w:t xml:space="preserve">cycle. </w:t>
      </w:r>
    </w:p>
    <w:p w14:paraId="6EB95B95" w14:textId="77777777" w:rsidR="002F29DE" w:rsidRPr="007B4DEC" w:rsidRDefault="002F29DE" w:rsidP="002F29DE">
      <w:pPr>
        <w:jc w:val="both"/>
        <w:rPr>
          <w:sz w:val="12"/>
          <w:szCs w:val="8"/>
        </w:rPr>
      </w:pPr>
    </w:p>
    <w:p w14:paraId="6107B23E" w14:textId="5EA2ACFB" w:rsidR="002F29DE" w:rsidRPr="00C1063E" w:rsidRDefault="007B4DEC" w:rsidP="007B4DEC">
      <w:pPr>
        <w:jc w:val="both"/>
      </w:pPr>
      <w:r w:rsidRPr="007B4DEC">
        <w:t>We commend the Czech Republic's commitment to the protection and promotion of human rights, including the adoption of the Action Plan for Inclusive Education 2019-2020 and the Strategic Framework Czech Republic 2030</w:t>
      </w:r>
      <w:r w:rsidR="00267859" w:rsidRPr="00C1063E">
        <w:t>, defining long-term sustainable development priorities for the next decade to improve the quality of life of Czech population.</w:t>
      </w:r>
    </w:p>
    <w:p w14:paraId="11CEB9A5" w14:textId="77777777" w:rsidR="007B4DEC" w:rsidRPr="00C1063E" w:rsidRDefault="007B4DEC" w:rsidP="00267859">
      <w:pPr>
        <w:jc w:val="both"/>
      </w:pPr>
    </w:p>
    <w:p w14:paraId="7F4DEBF5" w14:textId="30A2D75B" w:rsidR="002F29DE" w:rsidRPr="00C1063E" w:rsidRDefault="0021613C" w:rsidP="002F29DE">
      <w:pPr>
        <w:jc w:val="both"/>
      </w:pPr>
      <w:r w:rsidRPr="00C1063E">
        <w:t>We recommend</w:t>
      </w:r>
      <w:r w:rsidR="002F29DE" w:rsidRPr="00C1063E">
        <w:t xml:space="preserve"> to </w:t>
      </w:r>
      <w:r w:rsidR="007B4DEC" w:rsidRPr="007B4DEC">
        <w:t>Czechia</w:t>
      </w:r>
      <w:r w:rsidR="002F29DE" w:rsidRPr="00C1063E">
        <w:t xml:space="preserve">:    </w:t>
      </w:r>
    </w:p>
    <w:p w14:paraId="6B62045F" w14:textId="77777777" w:rsidR="002F29DE" w:rsidRPr="00C1063E" w:rsidRDefault="002F29DE" w:rsidP="002F29DE">
      <w:pPr>
        <w:jc w:val="both"/>
      </w:pPr>
    </w:p>
    <w:p w14:paraId="7EE4DA1A" w14:textId="373E835C" w:rsidR="007B4DEC" w:rsidRDefault="007B4DEC" w:rsidP="007B4DEC">
      <w:pPr>
        <w:pStyle w:val="Paragraphedeliste"/>
        <w:numPr>
          <w:ilvl w:val="0"/>
          <w:numId w:val="22"/>
        </w:numPr>
        <w:jc w:val="both"/>
      </w:pPr>
      <w:r>
        <w:t xml:space="preserve">Continue working for inclusive education, facilitating the enrolment of children with disabilities in regular educational </w:t>
      </w:r>
      <w:r w:rsidR="00042F08">
        <w:t>centers;</w:t>
      </w:r>
    </w:p>
    <w:p w14:paraId="1108F8ED" w14:textId="77777777" w:rsidR="007B4DEC" w:rsidRDefault="007B4DEC" w:rsidP="007B4DEC">
      <w:pPr>
        <w:ind w:left="360"/>
        <w:jc w:val="both"/>
      </w:pPr>
    </w:p>
    <w:p w14:paraId="2A4E9FC8" w14:textId="166FC743" w:rsidR="002F29DE" w:rsidRDefault="00042F08" w:rsidP="007B4DEC">
      <w:pPr>
        <w:pStyle w:val="Paragraphedeliste"/>
        <w:numPr>
          <w:ilvl w:val="0"/>
          <w:numId w:val="22"/>
        </w:numPr>
        <w:jc w:val="both"/>
      </w:pPr>
      <w:r>
        <w:t xml:space="preserve">Continue its </w:t>
      </w:r>
      <w:r w:rsidR="00C1063E">
        <w:t xml:space="preserve">efforts to increase awareness about child rights among children, as well as all professionals working with and for children, and introduce mechanisms for systematic monitoring of progress in this </w:t>
      </w:r>
      <w:r>
        <w:t xml:space="preserve">regard; </w:t>
      </w:r>
      <w:r w:rsidR="002F29DE" w:rsidRPr="00C1063E">
        <w:t xml:space="preserve"> </w:t>
      </w:r>
    </w:p>
    <w:p w14:paraId="7896649E" w14:textId="77777777" w:rsidR="00042F08" w:rsidRDefault="00042F08" w:rsidP="00042F08">
      <w:pPr>
        <w:pStyle w:val="Paragraphedeliste"/>
      </w:pPr>
    </w:p>
    <w:p w14:paraId="031E8510" w14:textId="77777777" w:rsidR="00896B58" w:rsidRPr="00896B58" w:rsidRDefault="00042F08" w:rsidP="00896B58">
      <w:pPr>
        <w:pStyle w:val="Paragraphedeliste"/>
        <w:numPr>
          <w:ilvl w:val="0"/>
          <w:numId w:val="22"/>
        </w:numPr>
        <w:jc w:val="both"/>
      </w:pPr>
      <w:r>
        <w:t xml:space="preserve">Continue its efforts in the context of the Sustainable Development Goals, </w:t>
      </w:r>
      <w:r w:rsidR="00896B58" w:rsidRPr="00896B58">
        <w:t>particularly in line with the comprehensive “Czech Republic 2030” strategy.</w:t>
      </w:r>
    </w:p>
    <w:p w14:paraId="44E36DE3" w14:textId="77777777" w:rsidR="00896B58" w:rsidRDefault="00896B58" w:rsidP="00896B58">
      <w:pPr>
        <w:pStyle w:val="Paragraphedeliste"/>
      </w:pPr>
    </w:p>
    <w:p w14:paraId="175A63EA" w14:textId="6B7F0638" w:rsidR="002F29DE" w:rsidRPr="00C1063E" w:rsidRDefault="00C1063E" w:rsidP="00896B58">
      <w:pPr>
        <w:jc w:val="both"/>
      </w:pPr>
      <w:proofErr w:type="spellStart"/>
      <w:r w:rsidRPr="00C1063E">
        <w:t>Algeria</w:t>
      </w:r>
      <w:proofErr w:type="spellEnd"/>
      <w:r w:rsidR="002F29DE" w:rsidRPr="00C1063E">
        <w:t xml:space="preserve"> wishes </w:t>
      </w:r>
      <w:r w:rsidR="007B4DEC" w:rsidRPr="00042F08">
        <w:t>Czechia</w:t>
      </w:r>
      <w:r w:rsidR="002F29DE" w:rsidRPr="00C1063E">
        <w:t xml:space="preserve"> a very successful review.</w:t>
      </w:r>
    </w:p>
    <w:p w14:paraId="01B7B8F1" w14:textId="77777777" w:rsidR="002F29DE" w:rsidRPr="00C1063E" w:rsidRDefault="002F29DE" w:rsidP="002F29DE">
      <w:pPr>
        <w:jc w:val="both"/>
      </w:pPr>
    </w:p>
    <w:p w14:paraId="0DFEC565" w14:textId="439B6DB5" w:rsidR="002C3C30" w:rsidRDefault="0021613C" w:rsidP="002F29DE">
      <w:pPr>
        <w:jc w:val="both"/>
      </w:pPr>
      <w:r w:rsidRPr="00C1063E">
        <w:t>T</w:t>
      </w:r>
      <w:r w:rsidR="002F29DE" w:rsidRPr="00C1063E">
        <w:t>hank you.</w:t>
      </w:r>
    </w:p>
    <w:p w14:paraId="3CCCA1CE" w14:textId="116828A4" w:rsidR="00896B58" w:rsidRDefault="00896B58" w:rsidP="002F29DE">
      <w:pPr>
        <w:jc w:val="both"/>
      </w:pPr>
    </w:p>
    <w:p w14:paraId="63EBD605" w14:textId="697E71BA" w:rsidR="00896B58" w:rsidRDefault="00896B58" w:rsidP="002F29DE">
      <w:pPr>
        <w:jc w:val="both"/>
      </w:pPr>
    </w:p>
    <w:p w14:paraId="5028E698" w14:textId="77777777" w:rsidR="00896B58" w:rsidRDefault="00896B58" w:rsidP="00896B5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p w14:paraId="32DDECB3" w14:textId="77777777" w:rsidR="00896B58" w:rsidRPr="00C1063E" w:rsidRDefault="00896B58" w:rsidP="002F29DE">
      <w:pPr>
        <w:jc w:val="both"/>
      </w:pPr>
    </w:p>
    <w:sectPr w:rsidR="00896B58" w:rsidRPr="00C1063E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C1CD" w14:textId="77777777" w:rsidR="00354EA4" w:rsidRDefault="00354EA4">
      <w:r>
        <w:separator/>
      </w:r>
    </w:p>
  </w:endnote>
  <w:endnote w:type="continuationSeparator" w:id="0">
    <w:p w14:paraId="6A813D79" w14:textId="77777777" w:rsidR="00354EA4" w:rsidRDefault="0035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0A2A" w14:textId="77777777" w:rsidR="00354EA4" w:rsidRDefault="00354EA4">
      <w:r>
        <w:separator/>
      </w:r>
    </w:p>
  </w:footnote>
  <w:footnote w:type="continuationSeparator" w:id="0">
    <w:p w14:paraId="09BF0956" w14:textId="77777777" w:rsidR="00354EA4" w:rsidRDefault="0035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7719"/>
    <w:multiLevelType w:val="hybridMultilevel"/>
    <w:tmpl w:val="233E8926"/>
    <w:lvl w:ilvl="0" w:tplc="69463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3594">
    <w:abstractNumId w:val="8"/>
  </w:num>
  <w:num w:numId="2" w16cid:durableId="1326470301">
    <w:abstractNumId w:val="17"/>
  </w:num>
  <w:num w:numId="3" w16cid:durableId="1110736681">
    <w:abstractNumId w:val="15"/>
  </w:num>
  <w:num w:numId="4" w16cid:durableId="1645617121">
    <w:abstractNumId w:val="16"/>
  </w:num>
  <w:num w:numId="5" w16cid:durableId="20210098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2037017">
    <w:abstractNumId w:val="0"/>
  </w:num>
  <w:num w:numId="7" w16cid:durableId="1765564722">
    <w:abstractNumId w:val="21"/>
  </w:num>
  <w:num w:numId="8" w16cid:durableId="1213269834">
    <w:abstractNumId w:val="14"/>
  </w:num>
  <w:num w:numId="9" w16cid:durableId="499659247">
    <w:abstractNumId w:val="7"/>
  </w:num>
  <w:num w:numId="10" w16cid:durableId="1392921443">
    <w:abstractNumId w:val="19"/>
  </w:num>
  <w:num w:numId="11" w16cid:durableId="1105153618">
    <w:abstractNumId w:val="5"/>
  </w:num>
  <w:num w:numId="12" w16cid:durableId="1572934003">
    <w:abstractNumId w:val="13"/>
  </w:num>
  <w:num w:numId="13" w16cid:durableId="1848640929">
    <w:abstractNumId w:val="2"/>
  </w:num>
  <w:num w:numId="14" w16cid:durableId="2066641639">
    <w:abstractNumId w:val="9"/>
  </w:num>
  <w:num w:numId="15" w16cid:durableId="1588487">
    <w:abstractNumId w:val="20"/>
  </w:num>
  <w:num w:numId="16" w16cid:durableId="1579092920">
    <w:abstractNumId w:val="10"/>
  </w:num>
  <w:num w:numId="17" w16cid:durableId="675230147">
    <w:abstractNumId w:val="11"/>
  </w:num>
  <w:num w:numId="18" w16cid:durableId="1110471582">
    <w:abstractNumId w:val="18"/>
  </w:num>
  <w:num w:numId="19" w16cid:durableId="1955212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8371650">
    <w:abstractNumId w:val="12"/>
  </w:num>
  <w:num w:numId="21" w16cid:durableId="2073774095">
    <w:abstractNumId w:val="1"/>
  </w:num>
  <w:num w:numId="22" w16cid:durableId="1425759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42F08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1613C"/>
    <w:rsid w:val="002312CC"/>
    <w:rsid w:val="002445EA"/>
    <w:rsid w:val="00244881"/>
    <w:rsid w:val="00256EFE"/>
    <w:rsid w:val="00267859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174DC"/>
    <w:rsid w:val="00324262"/>
    <w:rsid w:val="00324FBB"/>
    <w:rsid w:val="003340C7"/>
    <w:rsid w:val="00342DEC"/>
    <w:rsid w:val="00350AAF"/>
    <w:rsid w:val="00353BB5"/>
    <w:rsid w:val="00354EA4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1C4F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B4DEC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06A1D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8466C"/>
    <w:rsid w:val="008909E6"/>
    <w:rsid w:val="008950C3"/>
    <w:rsid w:val="00896B58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360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1612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638B"/>
    <w:rsid w:val="00BE78E8"/>
    <w:rsid w:val="00BF0187"/>
    <w:rsid w:val="00BF23F3"/>
    <w:rsid w:val="00BF7BB1"/>
    <w:rsid w:val="00C02A51"/>
    <w:rsid w:val="00C0390B"/>
    <w:rsid w:val="00C1063E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Sansinterligne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Paragraphedeliste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Policepardfau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634F46"/>
    <w:pPr>
      <w:ind w:left="720"/>
      <w:contextualSpacing/>
    </w:p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634F46"/>
  </w:style>
  <w:style w:type="character" w:customStyle="1" w:styleId="debate">
    <w:name w:val="debate"/>
    <w:basedOn w:val="Policepardfau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42622"/>
  </w:style>
  <w:style w:type="paragraph" w:styleId="Textedebulles">
    <w:name w:val="Balloon Text"/>
    <w:basedOn w:val="Normal"/>
    <w:link w:val="TextedebullesC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0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10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3E"/>
  </w:style>
  <w:style w:type="table" w:styleId="Grilledutableau">
    <w:name w:val="Table Grid"/>
    <w:basedOn w:val="TableauNormal"/>
    <w:rsid w:val="00042F08"/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CB819-4771-428B-8E5D-5435635FF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16792-2425-4EE1-8DC1-53A91BF90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E583C-CF3F-48AF-890D-FBE5FE8CB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9D4C8-9B2B-46E7-B7F5-454B10F2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Ambassade d'Algérie</cp:lastModifiedBy>
  <cp:revision>2</cp:revision>
  <cp:lastPrinted>2022-11-10T17:54:00Z</cp:lastPrinted>
  <dcterms:created xsi:type="dcterms:W3CDTF">2023-01-15T18:19:00Z</dcterms:created>
  <dcterms:modified xsi:type="dcterms:W3CDTF">2023-01-15T18:19:00Z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