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2EB8" w14:textId="77777777" w:rsidR="00D4539F" w:rsidRDefault="00D4539F" w:rsidP="00D4539F">
      <w:pPr>
        <w:pStyle w:val="BodyB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0FD59526" wp14:editId="0FC78B01">
            <wp:simplePos x="0" y="0"/>
            <wp:positionH relativeFrom="column">
              <wp:posOffset>2514600</wp:posOffset>
            </wp:positionH>
            <wp:positionV relativeFrom="line">
              <wp:posOffset>-196303</wp:posOffset>
            </wp:positionV>
            <wp:extent cx="986156" cy="1341756"/>
            <wp:effectExtent l="0" t="0" r="0" b="0"/>
            <wp:wrapSquare wrapText="bothSides" distT="57150" distB="57150" distL="57150" distR="57150"/>
            <wp:docPr id="1073741826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86156" cy="13417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7A62A40" w14:textId="77777777" w:rsidR="00D4539F" w:rsidRDefault="00D4539F" w:rsidP="00D4539F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7CAFB82E" w14:textId="77777777" w:rsidR="00D4539F" w:rsidRDefault="00D4539F" w:rsidP="00D4539F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7C39C23B" w14:textId="77777777" w:rsidR="00D4539F" w:rsidRDefault="00D4539F" w:rsidP="00D4539F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4EDD45A6" w14:textId="77777777" w:rsidR="00D4539F" w:rsidRDefault="00D4539F" w:rsidP="00D4539F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19C5C0A8" w14:textId="77777777" w:rsidR="00D4539F" w:rsidRDefault="00D4539F" w:rsidP="00D4539F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527CAE38" w14:textId="77777777" w:rsidR="00D4539F" w:rsidRDefault="00D4539F" w:rsidP="00D4539F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1434753C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B823EF0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0EB54340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SOUTH AFRICAN PERMANENT MISSION</w:t>
      </w:r>
    </w:p>
    <w:p w14:paraId="5AE19B5B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1C11D93D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73C7B134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42</w:t>
      </w:r>
      <w:r>
        <w:rPr>
          <w:rFonts w:ascii="Arial" w:hAnsi="Arial"/>
          <w:b/>
          <w:bCs/>
          <w:caps/>
          <w:sz w:val="28"/>
          <w:szCs w:val="28"/>
          <w:vertAlign w:val="superscript"/>
          <w:lang w:val="en-US"/>
        </w:rPr>
        <w:t>Nd</w:t>
      </w:r>
      <w:r>
        <w:rPr>
          <w:rFonts w:ascii="Arial" w:hAnsi="Arial"/>
          <w:b/>
          <w:bCs/>
          <w:caps/>
          <w:sz w:val="28"/>
          <w:szCs w:val="28"/>
          <w:lang w:val="de-DE"/>
        </w:rPr>
        <w:t xml:space="preserve"> SESSION OF THE WORKING GROUP ON THE</w:t>
      </w:r>
    </w:p>
    <w:p w14:paraId="4EE612FF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UNIVERSAL PERIODIC REVIEW</w:t>
      </w:r>
    </w:p>
    <w:p w14:paraId="6B73AB42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4F7DEF06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</w:p>
    <w:p w14:paraId="2D479053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  <w:lang w:val="en-US"/>
        </w:rPr>
        <w:t xml:space="preserve">Review of Guatemala  </w:t>
      </w:r>
    </w:p>
    <w:p w14:paraId="2D787D25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0265C8BD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15D2BB67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25 JANUARY 2023</w:t>
      </w:r>
    </w:p>
    <w:p w14:paraId="506C0F7F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C9B6B01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164E678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14H30-18H00</w:t>
      </w:r>
    </w:p>
    <w:p w14:paraId="26EA7305" w14:textId="77777777" w:rsidR="00D4539F" w:rsidRDefault="00D4539F" w:rsidP="00D4539F">
      <w:pPr>
        <w:pStyle w:val="BodyB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0B4B501A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(60 secONDS)</w:t>
      </w:r>
    </w:p>
    <w:p w14:paraId="634C9B48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0CEE0EF2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3C02212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>PALAIS DES NATIONS, GENEVA</w:t>
      </w:r>
    </w:p>
    <w:p w14:paraId="1CE7E34F" w14:textId="77777777" w:rsidR="00D4539F" w:rsidRDefault="00D4539F" w:rsidP="00D4539F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07080E37" w14:textId="77777777" w:rsidR="00D4539F" w:rsidRDefault="00D4539F" w:rsidP="00D4539F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5B161684" w14:textId="77777777" w:rsidR="00D4539F" w:rsidRDefault="00D4539F" w:rsidP="00D4539F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796AAB2E" w14:textId="77777777" w:rsidR="00D4539F" w:rsidRDefault="00D4539F" w:rsidP="00D4539F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0C35ECC4" w14:textId="77777777" w:rsidR="00D4539F" w:rsidRDefault="00D4539F" w:rsidP="00D4539F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>Check against delivery</w:t>
      </w:r>
    </w:p>
    <w:p w14:paraId="0BC8C1CB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2FBF5121" w14:textId="77777777" w:rsidR="00D4539F" w:rsidRDefault="00D4539F" w:rsidP="00D4539F">
      <w:pPr>
        <w:pStyle w:val="BodyB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998244C" w14:textId="77777777" w:rsid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3CB55220" w14:textId="77777777" w:rsid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131C594A" w14:textId="77777777" w:rsid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419A202F" w14:textId="77777777" w:rsid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50D17CAC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0FA8A4E9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</w:rPr>
        <w:t>Mr</w:t>
      </w:r>
      <w:r w:rsidRPr="00D4539F">
        <w:rPr>
          <w:rFonts w:ascii="Arial" w:hAnsi="Arial" w:cs="Arial"/>
          <w:lang w:val="fr-FR"/>
        </w:rPr>
        <w:t xml:space="preserve">. President, </w:t>
      </w:r>
    </w:p>
    <w:p w14:paraId="53CB2AA0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342F2DDE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  <w:lang w:val="en-US"/>
        </w:rPr>
        <w:t xml:space="preserve">South Africa welcomes the distinguished delegation of Guatemala to this UPR Session and wishes the country a successful review. </w:t>
      </w:r>
    </w:p>
    <w:p w14:paraId="10FF6D27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320B19EE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  <w:lang w:val="en-US"/>
        </w:rPr>
        <w:t xml:space="preserve">Our delegation </w:t>
      </w:r>
      <w:r w:rsidRPr="00D4539F">
        <w:rPr>
          <w:rFonts w:ascii="Arial" w:hAnsi="Arial" w:cs="Arial"/>
          <w:sz w:val="26"/>
          <w:szCs w:val="26"/>
          <w:lang w:val="en-US"/>
        </w:rPr>
        <w:t xml:space="preserve">welcomes initiatives by the Government of Guatemala towards the promotion and protection of the rights of children, which include the school meals </w:t>
      </w:r>
      <w:proofErr w:type="spellStart"/>
      <w:r w:rsidRPr="00D4539F">
        <w:rPr>
          <w:rFonts w:ascii="Arial" w:hAnsi="Arial" w:cs="Arial"/>
          <w:sz w:val="26"/>
          <w:szCs w:val="26"/>
          <w:lang w:val="en-US"/>
        </w:rPr>
        <w:t>programmes</w:t>
      </w:r>
      <w:proofErr w:type="spellEnd"/>
      <w:r w:rsidRPr="00D4539F">
        <w:rPr>
          <w:rFonts w:ascii="Arial" w:hAnsi="Arial" w:cs="Arial"/>
          <w:sz w:val="26"/>
          <w:szCs w:val="26"/>
          <w:lang w:val="en-US"/>
        </w:rPr>
        <w:t>, the establishment of the courts for the protection of children and adolescents and the school insurance scheme</w:t>
      </w:r>
      <w:r w:rsidRPr="00D4539F">
        <w:rPr>
          <w:rFonts w:ascii="Arial" w:hAnsi="Arial" w:cs="Arial"/>
          <w:sz w:val="26"/>
          <w:szCs w:val="26"/>
        </w:rPr>
        <w:t>.</w:t>
      </w:r>
    </w:p>
    <w:p w14:paraId="6EEE921B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5167FD0F" w14:textId="77777777" w:rsidR="00D4539F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  <w:proofErr w:type="gramStart"/>
      <w:r w:rsidRPr="00D4539F">
        <w:rPr>
          <w:rFonts w:ascii="Arial" w:hAnsi="Arial" w:cs="Arial"/>
          <w:lang w:val="en-US"/>
        </w:rPr>
        <w:t>In order to</w:t>
      </w:r>
      <w:proofErr w:type="gramEnd"/>
      <w:r w:rsidRPr="00D4539F">
        <w:rPr>
          <w:rFonts w:ascii="Arial" w:hAnsi="Arial" w:cs="Arial"/>
          <w:lang w:val="en-US"/>
        </w:rPr>
        <w:t xml:space="preserve"> ensure progress in promoting and protecting human </w:t>
      </w:r>
      <w:proofErr w:type="spellStart"/>
      <w:r w:rsidRPr="00D4539F">
        <w:rPr>
          <w:rFonts w:ascii="Arial" w:hAnsi="Arial" w:cs="Arial"/>
          <w:lang w:val="en-US"/>
        </w:rPr>
        <w:t>rights,</w:t>
      </w:r>
      <w:proofErr w:type="spellEnd"/>
      <w:r w:rsidRPr="00D4539F">
        <w:rPr>
          <w:rFonts w:ascii="Arial" w:hAnsi="Arial" w:cs="Arial"/>
          <w:lang w:val="en-US"/>
        </w:rPr>
        <w:t xml:space="preserve"> South Africa recommends that Guatemala:</w:t>
      </w:r>
    </w:p>
    <w:p w14:paraId="1D640DFB" w14:textId="77777777" w:rsidR="00D4539F" w:rsidRPr="00D4539F" w:rsidRDefault="00D4539F" w:rsidP="00D4539F">
      <w:pPr>
        <w:pStyle w:val="p2"/>
        <w:rPr>
          <w:rFonts w:ascii="Arial" w:eastAsia="Arial" w:hAnsi="Arial" w:cs="Arial"/>
        </w:rPr>
      </w:pPr>
    </w:p>
    <w:p w14:paraId="22790E62" w14:textId="77777777" w:rsidR="00D4539F" w:rsidRPr="00D4539F" w:rsidRDefault="00D4539F" w:rsidP="00D4539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D4539F">
        <w:rPr>
          <w:rFonts w:ascii="Arial" w:hAnsi="Arial" w:cs="Arial"/>
          <w:sz w:val="26"/>
          <w:szCs w:val="26"/>
        </w:rPr>
        <w:t>Consider reviewing measures contained in the legislative agenda of the Congress which hinder the promotion and protection of several human rights including the rights of vulnerable groups namely women, LGBTQI+ persons and indigenous people,</w:t>
      </w:r>
    </w:p>
    <w:p w14:paraId="192981EC" w14:textId="77777777" w:rsidR="00D4539F" w:rsidRPr="00D4539F" w:rsidRDefault="00D4539F" w:rsidP="00D4539F">
      <w:pPr>
        <w:pStyle w:val="ListParagraph"/>
        <w:rPr>
          <w:rFonts w:ascii="Arial" w:eastAsia="Arial" w:hAnsi="Arial" w:cs="Arial"/>
          <w:sz w:val="26"/>
          <w:szCs w:val="26"/>
        </w:rPr>
      </w:pPr>
    </w:p>
    <w:p w14:paraId="6869F6AD" w14:textId="77777777" w:rsidR="00D4539F" w:rsidRPr="00D4539F" w:rsidRDefault="00D4539F" w:rsidP="00D4539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spellStart"/>
      <w:r w:rsidRPr="00D4539F">
        <w:rPr>
          <w:rFonts w:ascii="Arial" w:hAnsi="Arial" w:cs="Arial"/>
          <w:sz w:val="26"/>
          <w:szCs w:val="26"/>
        </w:rPr>
        <w:t>Harmonise</w:t>
      </w:r>
      <w:proofErr w:type="spellEnd"/>
      <w:r w:rsidRPr="00D4539F">
        <w:rPr>
          <w:rFonts w:ascii="Arial" w:hAnsi="Arial" w:cs="Arial"/>
          <w:sz w:val="26"/>
          <w:szCs w:val="26"/>
        </w:rPr>
        <w:t xml:space="preserve"> the provisions of the Criminal Code relating to the age of sexual consent for both boys and girls,</w:t>
      </w:r>
    </w:p>
    <w:p w14:paraId="442930AD" w14:textId="77777777" w:rsidR="00D4539F" w:rsidRPr="00D4539F" w:rsidRDefault="00D4539F" w:rsidP="00D4539F">
      <w:pPr>
        <w:pStyle w:val="p2"/>
        <w:rPr>
          <w:rFonts w:ascii="Arial" w:eastAsia="Arial" w:hAnsi="Arial" w:cs="Arial"/>
        </w:rPr>
      </w:pPr>
    </w:p>
    <w:p w14:paraId="7B3D30EA" w14:textId="77777777" w:rsidR="00D4539F" w:rsidRPr="00D4539F" w:rsidRDefault="00D4539F" w:rsidP="00D4539F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>E</w:t>
      </w:r>
      <w:r w:rsidRPr="00D4539F">
        <w:rPr>
          <w:rFonts w:ascii="Arial" w:hAnsi="Arial" w:cs="Arial"/>
          <w:sz w:val="26"/>
          <w:szCs w:val="26"/>
        </w:rPr>
        <w:t>nsure unimpeded access to quality sexual and reproductive health services and comprehensive sex education for all,</w:t>
      </w:r>
    </w:p>
    <w:p w14:paraId="758A7991" w14:textId="77777777" w:rsidR="00D4539F" w:rsidRPr="00D4539F" w:rsidRDefault="00D4539F" w:rsidP="00D4539F">
      <w:pPr>
        <w:pStyle w:val="ListParagraph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66938E" w14:textId="77777777" w:rsidR="00D4539F" w:rsidRPr="00D4539F" w:rsidRDefault="00D4539F" w:rsidP="00D4539F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 xml:space="preserve">Enhance efforts to </w:t>
      </w:r>
      <w:r w:rsidRPr="00D4539F">
        <w:rPr>
          <w:rFonts w:ascii="Arial" w:hAnsi="Arial" w:cs="Arial"/>
          <w:sz w:val="26"/>
          <w:szCs w:val="26"/>
        </w:rPr>
        <w:t>protect Indigenous Peoples against forced evictions from their territories.</w:t>
      </w:r>
    </w:p>
    <w:p w14:paraId="34C12C5A" w14:textId="75E6067E" w:rsidR="00A81C3C" w:rsidRPr="00D4539F" w:rsidRDefault="00D4539F" w:rsidP="00D4539F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  <w:lang w:val="en-US"/>
        </w:rPr>
        <w:t xml:space="preserve"> I thank you.</w:t>
      </w:r>
    </w:p>
    <w:sectPr w:rsidR="00A81C3C" w:rsidRPr="00D4539F">
      <w:headerReference w:type="default" r:id="rId8"/>
      <w:footerReference w:type="default" r:id="rId9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9FD9" w14:textId="77777777" w:rsidR="00000000" w:rsidRDefault="00D4539F">
      <w:r>
        <w:separator/>
      </w:r>
    </w:p>
  </w:endnote>
  <w:endnote w:type="continuationSeparator" w:id="0">
    <w:p w14:paraId="1538DDA3" w14:textId="77777777" w:rsidR="00000000" w:rsidRDefault="00D4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A385" w14:textId="77777777" w:rsidR="00A81C3C" w:rsidRDefault="00A81C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C90A" w14:textId="77777777" w:rsidR="00000000" w:rsidRDefault="00D4539F">
      <w:r>
        <w:separator/>
      </w:r>
    </w:p>
  </w:footnote>
  <w:footnote w:type="continuationSeparator" w:id="0">
    <w:p w14:paraId="5EC234B7" w14:textId="77777777" w:rsidR="00000000" w:rsidRDefault="00D4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347F" w14:textId="77777777" w:rsidR="00A81C3C" w:rsidRDefault="00A81C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0E5"/>
    <w:multiLevelType w:val="hybridMultilevel"/>
    <w:tmpl w:val="E9F01DE4"/>
    <w:numStyleLink w:val="ImportedStyle10"/>
  </w:abstractNum>
  <w:abstractNum w:abstractNumId="1" w15:restartNumberingAfterBreak="0">
    <w:nsid w:val="1B247D6F"/>
    <w:multiLevelType w:val="hybridMultilevel"/>
    <w:tmpl w:val="BA223334"/>
    <w:styleLink w:val="ImportedStyle1"/>
    <w:lvl w:ilvl="0" w:tplc="DBB2E3D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88D4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B8AF48">
      <w:start w:val="1"/>
      <w:numFmt w:val="lowerRoman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EBBD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5A2AA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89822">
      <w:start w:val="1"/>
      <w:numFmt w:val="lowerRoman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480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034F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26947E">
      <w:start w:val="1"/>
      <w:numFmt w:val="lowerRoman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8F6DDE"/>
    <w:multiLevelType w:val="hybridMultilevel"/>
    <w:tmpl w:val="78C229DA"/>
    <w:styleLink w:val="ImportedStyle2"/>
    <w:lvl w:ilvl="0" w:tplc="F5DA3D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2FD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06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8F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E0F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8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CB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6D2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69A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911565"/>
    <w:multiLevelType w:val="hybridMultilevel"/>
    <w:tmpl w:val="E9F01DE4"/>
    <w:styleLink w:val="ImportedStyle10"/>
    <w:lvl w:ilvl="0" w:tplc="1032A4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05D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8463C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7C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E2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0718E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A17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ED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AAAC6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F729E1"/>
    <w:multiLevelType w:val="hybridMultilevel"/>
    <w:tmpl w:val="78C229DA"/>
    <w:numStyleLink w:val="ImportedStyle2"/>
  </w:abstractNum>
  <w:abstractNum w:abstractNumId="5" w15:restartNumberingAfterBreak="0">
    <w:nsid w:val="769B5F04"/>
    <w:multiLevelType w:val="hybridMultilevel"/>
    <w:tmpl w:val="BA223334"/>
    <w:numStyleLink w:val="ImportedStyle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C"/>
    <w:rsid w:val="00A81C3C"/>
    <w:rsid w:val="00B3506D"/>
    <w:rsid w:val="00D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C4BB"/>
  <w15:docId w15:val="{D667DB0D-E004-4DB1-8A10-E92E20D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2">
    <w:name w:val="p2"/>
    <w:rPr>
      <w:rFonts w:ascii="Cambria" w:eastAsia="Cambria" w:hAnsi="Cambria" w:cs="Cambria"/>
      <w:color w:val="000000"/>
      <w:sz w:val="26"/>
      <w:szCs w:val="26"/>
      <w:u w:color="000000"/>
      <w:lang w:val="en-US"/>
    </w:r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li1">
    <w:name w:val="li1"/>
    <w:rPr>
      <w:rFonts w:ascii="Cambria" w:eastAsia="Cambria" w:hAnsi="Cambria" w:cs="Cambria"/>
      <w:color w:val="000000"/>
      <w:sz w:val="27"/>
      <w:szCs w:val="27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8D036-2820-4A24-A7F5-7A44C5B5C2CE}"/>
</file>

<file path=customXml/itemProps2.xml><?xml version="1.0" encoding="utf-8"?>
<ds:datastoreItem xmlns:ds="http://schemas.openxmlformats.org/officeDocument/2006/customXml" ds:itemID="{C986819E-23A6-43B7-AAB0-920AC79CBC90}"/>
</file>

<file path=customXml/itemProps3.xml><?xml version="1.0" encoding="utf-8"?>
<ds:datastoreItem xmlns:ds="http://schemas.openxmlformats.org/officeDocument/2006/customXml" ds:itemID="{894335B5-85D7-4D0B-92F8-B84EFC388C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Vosloo, I Mr :  Geneva, Counsellor Human Rights, DIRCO</cp:lastModifiedBy>
  <cp:revision>2</cp:revision>
  <dcterms:created xsi:type="dcterms:W3CDTF">2023-01-25T16:01:00Z</dcterms:created>
  <dcterms:modified xsi:type="dcterms:W3CDTF">2023-01-25T16:01:00Z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