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EC21" w14:textId="3213620D" w:rsidR="006372D2" w:rsidRPr="00C606BE" w:rsidRDefault="006372D2" w:rsidP="00125CBF">
      <w:pPr>
        <w:tabs>
          <w:tab w:val="left" w:pos="1312"/>
        </w:tabs>
        <w:jc w:val="center"/>
        <w:rPr>
          <w:b/>
          <w:bCs/>
          <w:sz w:val="24"/>
          <w:szCs w:val="24"/>
          <w:lang w:val="es-ES"/>
        </w:rPr>
      </w:pPr>
      <w:r w:rsidRPr="00C606BE">
        <w:rPr>
          <w:b/>
          <w:bCs/>
          <w:sz w:val="24"/>
          <w:szCs w:val="24"/>
          <w:lang w:val="es-ES"/>
        </w:rPr>
        <w:t>Respuesta a recomendaciones E</w:t>
      </w:r>
      <w:r w:rsidR="00652071" w:rsidRPr="00C606BE">
        <w:rPr>
          <w:b/>
          <w:bCs/>
          <w:sz w:val="24"/>
          <w:szCs w:val="24"/>
          <w:lang w:val="es-ES"/>
        </w:rPr>
        <w:t>P</w:t>
      </w:r>
      <w:r w:rsidRPr="00C606BE">
        <w:rPr>
          <w:b/>
          <w:bCs/>
          <w:sz w:val="24"/>
          <w:szCs w:val="24"/>
          <w:lang w:val="es-ES"/>
        </w:rPr>
        <w:t>U.</w:t>
      </w:r>
    </w:p>
    <w:p w14:paraId="17BCFFF4" w14:textId="11830D0C" w:rsidR="006372D2" w:rsidRPr="00C606BE" w:rsidRDefault="006372D2" w:rsidP="006372D2">
      <w:pPr>
        <w:jc w:val="both"/>
        <w:rPr>
          <w:sz w:val="24"/>
          <w:szCs w:val="24"/>
          <w:lang w:val="es-ES"/>
        </w:rPr>
      </w:pPr>
      <w:r w:rsidRPr="00C606BE">
        <w:rPr>
          <w:sz w:val="24"/>
          <w:szCs w:val="24"/>
          <w:lang w:val="es-ES"/>
        </w:rPr>
        <w:t>Los cambios coyunturales en e</w:t>
      </w:r>
      <w:r w:rsidR="00FA5490" w:rsidRPr="00C606BE">
        <w:rPr>
          <w:sz w:val="24"/>
          <w:szCs w:val="24"/>
          <w:lang w:val="es-ES"/>
        </w:rPr>
        <w:t>l</w:t>
      </w:r>
      <w:r w:rsidRPr="00C606BE">
        <w:rPr>
          <w:sz w:val="24"/>
          <w:szCs w:val="24"/>
          <w:lang w:val="es-ES"/>
        </w:rPr>
        <w:t xml:space="preserve"> período de tiempo del año 2017 al 2022</w:t>
      </w:r>
      <w:r w:rsidR="00EA7B92" w:rsidRPr="00C606BE">
        <w:rPr>
          <w:sz w:val="24"/>
          <w:szCs w:val="24"/>
          <w:lang w:val="es-ES"/>
        </w:rPr>
        <w:t xml:space="preserve">, </w:t>
      </w:r>
      <w:r w:rsidRPr="00C606BE">
        <w:rPr>
          <w:sz w:val="24"/>
          <w:szCs w:val="24"/>
          <w:lang w:val="es-ES"/>
        </w:rPr>
        <w:t>evidencian la necesidad de intensificar las acciones que promueven la seguridad alimentaria y nutricional de la población guatemalteca</w:t>
      </w:r>
      <w:r w:rsidR="001B0E86" w:rsidRPr="00C606BE">
        <w:rPr>
          <w:rStyle w:val="Refdenotaalpie"/>
          <w:sz w:val="24"/>
          <w:szCs w:val="24"/>
          <w:lang w:val="es-ES"/>
        </w:rPr>
        <w:footnoteReference w:id="1"/>
      </w:r>
      <w:r w:rsidR="001B0E86" w:rsidRPr="00C606BE">
        <w:rPr>
          <w:sz w:val="24"/>
          <w:szCs w:val="24"/>
          <w:lang w:val="es-ES"/>
        </w:rPr>
        <w:t>.</w:t>
      </w:r>
    </w:p>
    <w:p w14:paraId="48B3EBE9" w14:textId="6B983BD4" w:rsidR="006372D2" w:rsidRPr="00C606BE" w:rsidRDefault="00125CBF" w:rsidP="006372D2">
      <w:pPr>
        <w:jc w:val="both"/>
        <w:rPr>
          <w:sz w:val="24"/>
          <w:szCs w:val="24"/>
          <w:lang w:val="es-ES"/>
        </w:rPr>
      </w:pPr>
      <w:r w:rsidRPr="00C606BE">
        <w:rPr>
          <w:sz w:val="24"/>
          <w:szCs w:val="24"/>
          <w:lang w:val="es-ES"/>
        </w:rPr>
        <w:t>E</w:t>
      </w:r>
      <w:r w:rsidR="001B0E86" w:rsidRPr="00C606BE">
        <w:rPr>
          <w:sz w:val="24"/>
          <w:szCs w:val="24"/>
          <w:lang w:val="es-ES"/>
        </w:rPr>
        <w:t xml:space="preserve">n el año 2022, </w:t>
      </w:r>
      <w:r w:rsidR="00BD0786" w:rsidRPr="00C606BE">
        <w:rPr>
          <w:sz w:val="24"/>
          <w:szCs w:val="24"/>
          <w:lang w:val="es-ES"/>
        </w:rPr>
        <w:t>CONASAN</w:t>
      </w:r>
      <w:r w:rsidR="001B0E86" w:rsidRPr="00C606BE">
        <w:rPr>
          <w:sz w:val="24"/>
          <w:szCs w:val="24"/>
          <w:lang w:val="es-ES"/>
        </w:rPr>
        <w:t xml:space="preserve">, </w:t>
      </w:r>
      <w:r w:rsidR="00235D63" w:rsidRPr="00C606BE">
        <w:rPr>
          <w:sz w:val="24"/>
          <w:szCs w:val="24"/>
        </w:rPr>
        <w:t xml:space="preserve">aprueba </w:t>
      </w:r>
      <w:r w:rsidR="00235D63" w:rsidRPr="00C606BE">
        <w:rPr>
          <w:b/>
          <w:bCs/>
          <w:sz w:val="24"/>
          <w:szCs w:val="24"/>
        </w:rPr>
        <w:t>La</w:t>
      </w:r>
      <w:r w:rsidR="001B0E86" w:rsidRPr="00C606BE">
        <w:rPr>
          <w:b/>
          <w:bCs/>
          <w:sz w:val="24"/>
          <w:szCs w:val="24"/>
        </w:rPr>
        <w:t xml:space="preserve"> nueva Política Nacional de S</w:t>
      </w:r>
      <w:r w:rsidR="00EA7B92" w:rsidRPr="00C606BE">
        <w:rPr>
          <w:b/>
          <w:bCs/>
          <w:sz w:val="24"/>
          <w:szCs w:val="24"/>
        </w:rPr>
        <w:t xml:space="preserve">eguridad </w:t>
      </w:r>
      <w:r w:rsidR="001B0E86" w:rsidRPr="00C606BE">
        <w:rPr>
          <w:b/>
          <w:bCs/>
          <w:sz w:val="24"/>
          <w:szCs w:val="24"/>
        </w:rPr>
        <w:t>A</w:t>
      </w:r>
      <w:r w:rsidR="00EA7B92" w:rsidRPr="00C606BE">
        <w:rPr>
          <w:b/>
          <w:bCs/>
          <w:sz w:val="24"/>
          <w:szCs w:val="24"/>
        </w:rPr>
        <w:t xml:space="preserve">limentaria </w:t>
      </w:r>
      <w:r w:rsidR="001B0E86" w:rsidRPr="00C606BE">
        <w:rPr>
          <w:b/>
          <w:bCs/>
          <w:sz w:val="24"/>
          <w:szCs w:val="24"/>
        </w:rPr>
        <w:t>N</w:t>
      </w:r>
      <w:r w:rsidR="00EA7B92" w:rsidRPr="00C606BE">
        <w:rPr>
          <w:b/>
          <w:bCs/>
          <w:sz w:val="24"/>
          <w:szCs w:val="24"/>
        </w:rPr>
        <w:t>utricional</w:t>
      </w:r>
      <w:r w:rsidR="001B0E86" w:rsidRPr="00C606BE">
        <w:rPr>
          <w:b/>
          <w:bCs/>
          <w:sz w:val="24"/>
          <w:szCs w:val="24"/>
        </w:rPr>
        <w:t xml:space="preserve"> 2022-2037</w:t>
      </w:r>
      <w:r w:rsidR="006372D2" w:rsidRPr="00C606BE">
        <w:rPr>
          <w:sz w:val="24"/>
          <w:szCs w:val="24"/>
          <w:lang w:val="es-ES"/>
        </w:rPr>
        <w:t>.</w:t>
      </w:r>
    </w:p>
    <w:p w14:paraId="544A861A" w14:textId="7CB83645" w:rsidR="00924EAB" w:rsidRPr="00C606BE" w:rsidRDefault="00924EAB" w:rsidP="00924EAB">
      <w:pPr>
        <w:jc w:val="both"/>
        <w:rPr>
          <w:sz w:val="24"/>
          <w:szCs w:val="24"/>
        </w:rPr>
      </w:pPr>
      <w:r w:rsidRPr="00C606BE">
        <w:rPr>
          <w:sz w:val="24"/>
          <w:szCs w:val="24"/>
        </w:rPr>
        <w:t xml:space="preserve">Para la prevención de la desnutrición en Guatemala, el Gobierno del presidente Alejandro Giamattei, Impulsa La Gran Cruzada Nacional Por la Nutrición, y </w:t>
      </w:r>
      <w:r w:rsidR="001340F6" w:rsidRPr="00C606BE">
        <w:rPr>
          <w:sz w:val="24"/>
          <w:szCs w:val="24"/>
        </w:rPr>
        <w:t>con</w:t>
      </w:r>
      <w:r w:rsidRPr="00C606BE">
        <w:rPr>
          <w:sz w:val="24"/>
          <w:szCs w:val="24"/>
        </w:rPr>
        <w:t xml:space="preserve"> intervenciones que contribuyan a prevenir la desnutrición crónica, en todo el país, prioriza</w:t>
      </w:r>
      <w:r w:rsidR="00125CBF" w:rsidRPr="00C606BE">
        <w:rPr>
          <w:sz w:val="24"/>
          <w:szCs w:val="24"/>
        </w:rPr>
        <w:t>ndo</w:t>
      </w:r>
      <w:r w:rsidRPr="00C606BE">
        <w:rPr>
          <w:sz w:val="24"/>
          <w:szCs w:val="24"/>
        </w:rPr>
        <w:t xml:space="preserve"> intervenciones en 114 municipios, con mayores inequidades, y casos de desnutrición. </w:t>
      </w:r>
    </w:p>
    <w:p w14:paraId="5AD74C6A" w14:textId="6CB622AB" w:rsidR="001B0E86" w:rsidRPr="00C606BE" w:rsidRDefault="00BD0786" w:rsidP="001B0E86">
      <w:pPr>
        <w:jc w:val="both"/>
        <w:rPr>
          <w:sz w:val="24"/>
          <w:szCs w:val="24"/>
        </w:rPr>
      </w:pPr>
      <w:r w:rsidRPr="00C606BE">
        <w:rPr>
          <w:sz w:val="24"/>
          <w:szCs w:val="24"/>
        </w:rPr>
        <w:t xml:space="preserve">Se </w:t>
      </w:r>
      <w:r w:rsidR="001B0E86" w:rsidRPr="00C606BE">
        <w:rPr>
          <w:sz w:val="24"/>
          <w:szCs w:val="24"/>
        </w:rPr>
        <w:t>implementa</w:t>
      </w:r>
      <w:r w:rsidR="00C606BE" w:rsidRPr="00C606BE">
        <w:rPr>
          <w:sz w:val="24"/>
          <w:szCs w:val="24"/>
        </w:rPr>
        <w:t>ron</w:t>
      </w:r>
      <w:r w:rsidR="001B0E86" w:rsidRPr="00C606BE">
        <w:rPr>
          <w:sz w:val="24"/>
          <w:szCs w:val="24"/>
        </w:rPr>
        <w:t xml:space="preserve"> acciones para facilitar el acceso a la atención en salud</w:t>
      </w:r>
      <w:r w:rsidR="007C5394" w:rsidRPr="00C606BE">
        <w:rPr>
          <w:sz w:val="24"/>
          <w:szCs w:val="24"/>
        </w:rPr>
        <w:t>, como parte de su modelo de atención y gestión</w:t>
      </w:r>
      <w:r w:rsidR="001340F6" w:rsidRPr="00C606BE">
        <w:rPr>
          <w:sz w:val="24"/>
          <w:szCs w:val="24"/>
        </w:rPr>
        <w:t>, que lograron</w:t>
      </w:r>
      <w:r w:rsidR="001B0E86" w:rsidRPr="00C606BE">
        <w:rPr>
          <w:sz w:val="24"/>
          <w:szCs w:val="24"/>
        </w:rPr>
        <w:t xml:space="preserve">: </w:t>
      </w:r>
    </w:p>
    <w:p w14:paraId="77244DCD" w14:textId="5D873075" w:rsidR="001B0E86" w:rsidRPr="00C606BE" w:rsidRDefault="00D62D87" w:rsidP="001B0E86">
      <w:pPr>
        <w:pStyle w:val="Prrafodelista"/>
        <w:numPr>
          <w:ilvl w:val="0"/>
          <w:numId w:val="1"/>
        </w:numPr>
        <w:jc w:val="both"/>
      </w:pPr>
      <w:r w:rsidRPr="00C606BE">
        <w:t xml:space="preserve">A pesar </w:t>
      </w:r>
      <w:r w:rsidR="00282B2A" w:rsidRPr="00C606BE">
        <w:t xml:space="preserve">de </w:t>
      </w:r>
      <w:r w:rsidRPr="00C606BE">
        <w:rPr>
          <w:b/>
          <w:bCs/>
        </w:rPr>
        <w:t xml:space="preserve">riesgo de inseguridad alimentaria y nutricional </w:t>
      </w:r>
      <w:r w:rsidRPr="00C606BE">
        <w:t>es</w:t>
      </w:r>
      <w:r w:rsidR="00282B2A" w:rsidRPr="00C606BE">
        <w:t>perado</w:t>
      </w:r>
      <w:r w:rsidRPr="00C606BE">
        <w:t xml:space="preserve"> para el país, </w:t>
      </w:r>
      <w:r w:rsidR="001340F6" w:rsidRPr="00C606BE">
        <w:t>se redujeron</w:t>
      </w:r>
      <w:r w:rsidR="001B0E86" w:rsidRPr="00C606BE">
        <w:t xml:space="preserve"> los casos de desnutrición aguda de 2</w:t>
      </w:r>
      <w:r w:rsidR="006B3C33" w:rsidRPr="00C606BE">
        <w:t>7,913</w:t>
      </w:r>
      <w:r w:rsidR="001B0E86" w:rsidRPr="00C606BE">
        <w:t xml:space="preserve"> en el año 2020 a 20,</w:t>
      </w:r>
      <w:r w:rsidR="006B3C33" w:rsidRPr="00C606BE">
        <w:t>806</w:t>
      </w:r>
      <w:r w:rsidR="001B0E86" w:rsidRPr="00C606BE">
        <w:t xml:space="preserve"> casos en el año 2022. </w:t>
      </w:r>
    </w:p>
    <w:p w14:paraId="46C9A024" w14:textId="2E67CAD9" w:rsidR="001B0E86" w:rsidRPr="00C606BE" w:rsidRDefault="00823C73" w:rsidP="001B0E86">
      <w:pPr>
        <w:pStyle w:val="Prrafodelista"/>
        <w:numPr>
          <w:ilvl w:val="0"/>
          <w:numId w:val="1"/>
        </w:numPr>
        <w:jc w:val="both"/>
      </w:pPr>
      <w:r w:rsidRPr="00C606BE">
        <w:t>Se</w:t>
      </w:r>
      <w:r w:rsidR="001B0E86" w:rsidRPr="00C606BE">
        <w:t xml:space="preserve"> </w:t>
      </w:r>
      <w:r w:rsidR="001B0E86" w:rsidRPr="00C606BE">
        <w:rPr>
          <w:lang w:val="es-ES"/>
        </w:rPr>
        <w:t>benefici</w:t>
      </w:r>
      <w:r w:rsidR="006D702F" w:rsidRPr="00C606BE">
        <w:rPr>
          <w:lang w:val="es-ES"/>
        </w:rPr>
        <w:t>ó</w:t>
      </w:r>
      <w:r w:rsidR="001B0E86" w:rsidRPr="00C606BE">
        <w:rPr>
          <w:lang w:val="es-ES"/>
        </w:rPr>
        <w:t xml:space="preserve"> </w:t>
      </w:r>
      <w:r w:rsidR="0089226B" w:rsidRPr="00C606BE">
        <w:rPr>
          <w:lang w:val="es-ES"/>
        </w:rPr>
        <w:t xml:space="preserve">en el año 2021 a </w:t>
      </w:r>
      <w:r w:rsidR="003C049F" w:rsidRPr="00C606BE">
        <w:rPr>
          <w:lang w:val="es-ES"/>
        </w:rPr>
        <w:t xml:space="preserve">más de </w:t>
      </w:r>
      <w:r w:rsidR="0089226B" w:rsidRPr="00C606BE">
        <w:rPr>
          <w:lang w:val="es-ES"/>
        </w:rPr>
        <w:t>735</w:t>
      </w:r>
      <w:r w:rsidR="00414F0D" w:rsidRPr="00C606BE">
        <w:rPr>
          <w:lang w:val="es-ES"/>
        </w:rPr>
        <w:t xml:space="preserve"> mil</w:t>
      </w:r>
      <w:r w:rsidR="0089226B" w:rsidRPr="00C606BE">
        <w:rPr>
          <w:lang w:val="es-ES"/>
        </w:rPr>
        <w:t xml:space="preserve"> niños y en el año 2022 a </w:t>
      </w:r>
      <w:r w:rsidR="001B0E86" w:rsidRPr="00C606BE">
        <w:rPr>
          <w:lang w:val="es-ES"/>
        </w:rPr>
        <w:t>423</w:t>
      </w:r>
      <w:r w:rsidR="00414F0D" w:rsidRPr="00C606BE">
        <w:rPr>
          <w:lang w:val="es-ES"/>
        </w:rPr>
        <w:t xml:space="preserve"> mil</w:t>
      </w:r>
      <w:r w:rsidR="001B0E86" w:rsidRPr="00C606BE">
        <w:rPr>
          <w:lang w:val="es-ES"/>
        </w:rPr>
        <w:t xml:space="preserve"> niños entre 6 y 59 meses con entrega de Alimento Complementario Fortificado -ACF-</w:t>
      </w:r>
      <w:r w:rsidR="00895CCC" w:rsidRPr="00C606BE">
        <w:rPr>
          <w:lang w:val="es-ES"/>
        </w:rPr>
        <w:t>.</w:t>
      </w:r>
      <w:r w:rsidR="0089226B" w:rsidRPr="00C606BE">
        <w:rPr>
          <w:lang w:val="es-ES"/>
        </w:rPr>
        <w:t xml:space="preserve">  </w:t>
      </w:r>
    </w:p>
    <w:p w14:paraId="7716DC29" w14:textId="78979D11" w:rsidR="001B0E86" w:rsidRPr="00C606BE" w:rsidRDefault="0097003A" w:rsidP="001B0E86">
      <w:pPr>
        <w:pStyle w:val="Prrafodelista"/>
        <w:numPr>
          <w:ilvl w:val="0"/>
          <w:numId w:val="1"/>
        </w:numPr>
        <w:jc w:val="both"/>
      </w:pPr>
      <w:r w:rsidRPr="00C606BE">
        <w:rPr>
          <w:lang w:val="es-ES"/>
        </w:rPr>
        <w:lastRenderedPageBreak/>
        <w:t xml:space="preserve">Se </w:t>
      </w:r>
      <w:r w:rsidR="001B0E86" w:rsidRPr="00C606BE">
        <w:rPr>
          <w:lang w:val="es-ES"/>
        </w:rPr>
        <w:t>Implement</w:t>
      </w:r>
      <w:r w:rsidRPr="00C606BE">
        <w:rPr>
          <w:lang w:val="es-ES"/>
        </w:rPr>
        <w:t>aron</w:t>
      </w:r>
      <w:r w:rsidR="001B0E86" w:rsidRPr="00C606BE">
        <w:rPr>
          <w:lang w:val="es-ES"/>
        </w:rPr>
        <w:t xml:space="preserve"> 114 planes de cambio social y de comportamiento</w:t>
      </w:r>
      <w:r w:rsidR="00895CCC" w:rsidRPr="00C606BE">
        <w:rPr>
          <w:lang w:val="es-ES"/>
        </w:rPr>
        <w:t>.</w:t>
      </w:r>
    </w:p>
    <w:p w14:paraId="49E26BDE" w14:textId="2C4128DD" w:rsidR="001B0E86" w:rsidRPr="00C606BE" w:rsidRDefault="00B92C4E" w:rsidP="001B0E86">
      <w:pPr>
        <w:pStyle w:val="Prrafodelista"/>
        <w:numPr>
          <w:ilvl w:val="0"/>
          <w:numId w:val="1"/>
        </w:numPr>
        <w:jc w:val="both"/>
      </w:pPr>
      <w:r w:rsidRPr="00C606BE">
        <w:t xml:space="preserve">Se </w:t>
      </w:r>
      <w:r w:rsidR="001B0E86" w:rsidRPr="00C606BE">
        <w:t>Impuls</w:t>
      </w:r>
      <w:r w:rsidRPr="00C606BE">
        <w:t>aron</w:t>
      </w:r>
      <w:r w:rsidR="001B0E86" w:rsidRPr="00C606BE">
        <w:t xml:space="preserve"> las Brigadas Integrales para búsqueda activa de casos de desnutrición aguda, provisión de vacunación regular, vacunación </w:t>
      </w:r>
      <w:r w:rsidR="00895CCC" w:rsidRPr="00C606BE">
        <w:t>COVID 19</w:t>
      </w:r>
      <w:r w:rsidR="001B0E86" w:rsidRPr="00C606BE">
        <w:t>, monitoreo del crecimiento</w:t>
      </w:r>
      <w:r w:rsidR="0045751A" w:rsidRPr="00C606BE">
        <w:t xml:space="preserve"> y atención a la demanda en salud</w:t>
      </w:r>
      <w:r w:rsidR="00C606BE" w:rsidRPr="00C606BE">
        <w:t xml:space="preserve">, atenciones prenatales, consejería y </w:t>
      </w:r>
      <w:r w:rsidR="001B0E86" w:rsidRPr="00C606BE">
        <w:t>provisión de métodos de planificación familiar.</w:t>
      </w:r>
    </w:p>
    <w:p w14:paraId="1435F98E" w14:textId="5202B32A" w:rsidR="00A87931" w:rsidRPr="00C606BE" w:rsidRDefault="00A87931" w:rsidP="001B0E86">
      <w:pPr>
        <w:pStyle w:val="Prrafodelista"/>
        <w:numPr>
          <w:ilvl w:val="0"/>
          <w:numId w:val="1"/>
        </w:numPr>
        <w:jc w:val="both"/>
      </w:pPr>
      <w:r w:rsidRPr="00C606BE">
        <w:t xml:space="preserve">Entre los años 2017 y 2022 se </w:t>
      </w:r>
      <w:r w:rsidR="00924EAB" w:rsidRPr="00C606BE">
        <w:t xml:space="preserve">proporcionaron más de </w:t>
      </w:r>
      <w:r w:rsidR="000C7028" w:rsidRPr="00C606BE">
        <w:t xml:space="preserve">2,054,780 de </w:t>
      </w:r>
      <w:r w:rsidR="006D702F" w:rsidRPr="00C606BE">
        <w:t xml:space="preserve">atenciones </w:t>
      </w:r>
      <w:r w:rsidR="00924EAB" w:rsidRPr="00C606BE">
        <w:t>prenatales</w:t>
      </w:r>
      <w:r w:rsidR="000C7028" w:rsidRPr="00C606BE">
        <w:t>.</w:t>
      </w:r>
    </w:p>
    <w:p w14:paraId="0094F6A8" w14:textId="77777777" w:rsidR="007D7E22" w:rsidRPr="00C606BE" w:rsidRDefault="007D7E22" w:rsidP="000A02C4">
      <w:pPr>
        <w:pStyle w:val="Prrafodelista"/>
        <w:numPr>
          <w:ilvl w:val="0"/>
          <w:numId w:val="8"/>
        </w:numPr>
        <w:jc w:val="both"/>
      </w:pPr>
      <w:r w:rsidRPr="00C606BE">
        <w:rPr>
          <w:b/>
          <w:bCs/>
        </w:rPr>
        <w:t>Para la atención COVID 19</w:t>
      </w:r>
      <w:r w:rsidRPr="00C606BE">
        <w:t xml:space="preserve">: </w:t>
      </w:r>
    </w:p>
    <w:p w14:paraId="263A2970" w14:textId="0BDAB823" w:rsidR="001B0E86" w:rsidRPr="00C606BE" w:rsidRDefault="001340F6" w:rsidP="007D7E22">
      <w:pPr>
        <w:pStyle w:val="Prrafodelista"/>
        <w:numPr>
          <w:ilvl w:val="1"/>
          <w:numId w:val="8"/>
        </w:numPr>
        <w:jc w:val="both"/>
      </w:pPr>
      <w:r w:rsidRPr="00C606BE">
        <w:t>Se</w:t>
      </w:r>
      <w:r w:rsidR="001B0E86" w:rsidRPr="00C606BE">
        <w:t xml:space="preserve"> habilita</w:t>
      </w:r>
      <w:r w:rsidRPr="00C606BE">
        <w:t xml:space="preserve">ron </w:t>
      </w:r>
      <w:r w:rsidR="001B0E86" w:rsidRPr="00C606BE">
        <w:t xml:space="preserve">5 hospitales temporales, ampliación de 2,700 Camas para cuidados críticos. Mas de 4500 profesionales capacitados y estandarizados en protocolos de atención. 22 laboratorios regionales </w:t>
      </w:r>
      <w:r w:rsidRPr="00C606BE">
        <w:t>procesan</w:t>
      </w:r>
      <w:r w:rsidR="001B0E86" w:rsidRPr="00C606BE">
        <w:t xml:space="preserve"> pruebas PCR.</w:t>
      </w:r>
    </w:p>
    <w:p w14:paraId="205487AE" w14:textId="703DDB8E" w:rsidR="001B0E86" w:rsidRPr="00C606BE" w:rsidRDefault="001B0E86" w:rsidP="007D7E22">
      <w:pPr>
        <w:pStyle w:val="Prrafodelista"/>
        <w:numPr>
          <w:ilvl w:val="1"/>
          <w:numId w:val="8"/>
        </w:numPr>
        <w:jc w:val="both"/>
      </w:pPr>
      <w:r w:rsidRPr="00C606BE">
        <w:t>1231 puestos de vacunación y 955 puestos de hisopados a nivel del país</w:t>
      </w:r>
    </w:p>
    <w:p w14:paraId="65E5D774" w14:textId="0EA03323" w:rsidR="001B0E86" w:rsidRPr="00C606BE" w:rsidRDefault="0097003A" w:rsidP="007D7E22">
      <w:pPr>
        <w:pStyle w:val="Prrafodelista"/>
        <w:numPr>
          <w:ilvl w:val="1"/>
          <w:numId w:val="8"/>
        </w:numPr>
        <w:jc w:val="both"/>
      </w:pPr>
      <w:r w:rsidRPr="00C606BE">
        <w:t>A la fecha, h</w:t>
      </w:r>
      <w:r w:rsidR="001B0E86" w:rsidRPr="00C606BE">
        <w:t xml:space="preserve">a administrado </w:t>
      </w:r>
      <w:r w:rsidR="00F554D3" w:rsidRPr="00C606BE">
        <w:t xml:space="preserve">más de </w:t>
      </w:r>
      <w:r w:rsidR="001B0E86" w:rsidRPr="00C606BE">
        <w:t>20,</w:t>
      </w:r>
      <w:r w:rsidR="00F554D3" w:rsidRPr="00C606BE">
        <w:t xml:space="preserve"> millones </w:t>
      </w:r>
      <w:r w:rsidR="001B0E86" w:rsidRPr="00C606BE">
        <w:t>dosis de COVID 19.</w:t>
      </w:r>
    </w:p>
    <w:p w14:paraId="43B1C2A8" w14:textId="4DC73FBB" w:rsidR="00F93FB4" w:rsidRPr="00C606BE" w:rsidRDefault="00F93FB4"/>
    <w:p w14:paraId="63AB9955" w14:textId="5FC04457" w:rsidR="00C85308" w:rsidRPr="00C606BE" w:rsidRDefault="00C85308" w:rsidP="00C85308">
      <w:pPr>
        <w:jc w:val="both"/>
        <w:rPr>
          <w:b/>
          <w:bCs/>
          <w:sz w:val="24"/>
          <w:szCs w:val="24"/>
        </w:rPr>
      </w:pPr>
      <w:r w:rsidRPr="00C606BE">
        <w:rPr>
          <w:b/>
          <w:bCs/>
          <w:sz w:val="24"/>
          <w:szCs w:val="24"/>
        </w:rPr>
        <w:t>Derecho a la Salud:</w:t>
      </w:r>
    </w:p>
    <w:p w14:paraId="10B6C01A" w14:textId="1F9F23DE" w:rsidR="00CB006B" w:rsidRPr="00C606BE" w:rsidRDefault="006D702F" w:rsidP="00CB006B">
      <w:pPr>
        <w:pStyle w:val="Prrafodelista"/>
        <w:numPr>
          <w:ilvl w:val="0"/>
          <w:numId w:val="9"/>
        </w:numPr>
        <w:jc w:val="both"/>
      </w:pPr>
      <w:r w:rsidRPr="00C606BE">
        <w:t xml:space="preserve">Se </w:t>
      </w:r>
      <w:r w:rsidR="00CB006B" w:rsidRPr="00C606BE">
        <w:t>cuenta con la Política Nacional de Desarrollo, Plan katún 2032</w:t>
      </w:r>
      <w:r w:rsidR="00DE5E75" w:rsidRPr="00C606BE">
        <w:t xml:space="preserve"> </w:t>
      </w:r>
      <w:r w:rsidR="00CD3016" w:rsidRPr="00C606BE">
        <w:t xml:space="preserve">y </w:t>
      </w:r>
      <w:r w:rsidR="00CB006B" w:rsidRPr="00C606BE">
        <w:t xml:space="preserve">su política Nacional de Seguridad Alimentaria y Nutricional 2022-2037.   </w:t>
      </w:r>
    </w:p>
    <w:p w14:paraId="6E0A9C8A" w14:textId="02776CA2" w:rsidR="00CB006B" w:rsidRPr="00C606BE" w:rsidRDefault="001340F6" w:rsidP="00CB006B">
      <w:pPr>
        <w:ind w:left="708"/>
        <w:jc w:val="both"/>
        <w:rPr>
          <w:b/>
          <w:bCs/>
          <w:sz w:val="24"/>
          <w:szCs w:val="24"/>
        </w:rPr>
      </w:pPr>
      <w:r w:rsidRPr="00C606BE">
        <w:rPr>
          <w:sz w:val="24"/>
          <w:szCs w:val="24"/>
        </w:rPr>
        <w:t>E</w:t>
      </w:r>
      <w:r w:rsidR="00CB006B" w:rsidRPr="00C606BE">
        <w:rPr>
          <w:sz w:val="24"/>
          <w:szCs w:val="24"/>
        </w:rPr>
        <w:t xml:space="preserve">n el periodo 2017 a 2022 </w:t>
      </w:r>
      <w:r w:rsidRPr="00C606BE">
        <w:rPr>
          <w:sz w:val="24"/>
          <w:szCs w:val="24"/>
        </w:rPr>
        <w:t>se construyeron</w:t>
      </w:r>
      <w:r w:rsidR="00CB006B" w:rsidRPr="00C606BE">
        <w:rPr>
          <w:sz w:val="24"/>
          <w:szCs w:val="24"/>
        </w:rPr>
        <w:t xml:space="preserve"> 284 nuevos servicios; se remoza</w:t>
      </w:r>
      <w:r w:rsidRPr="00C606BE">
        <w:rPr>
          <w:sz w:val="24"/>
          <w:szCs w:val="24"/>
        </w:rPr>
        <w:t>ron</w:t>
      </w:r>
      <w:r w:rsidR="00CB006B" w:rsidRPr="00C606BE">
        <w:rPr>
          <w:sz w:val="24"/>
          <w:szCs w:val="24"/>
        </w:rPr>
        <w:t xml:space="preserve"> más de 46 servicios de primer y segundo nivel de atención.   Se inauguró el Hospital de Santa Barbara en Izabal. Se espera inaugurar en el 2023, 4 hospitales más. El Proyecto Crecer Sano remozó en el año 2022, 18 puestos de salud.</w:t>
      </w:r>
    </w:p>
    <w:p w14:paraId="69D55126" w14:textId="7BE2A0E6" w:rsidR="006D702F" w:rsidRPr="00C606BE" w:rsidRDefault="00C606BE" w:rsidP="00422237">
      <w:pPr>
        <w:pStyle w:val="Prrafodelista"/>
        <w:numPr>
          <w:ilvl w:val="0"/>
          <w:numId w:val="10"/>
        </w:numPr>
        <w:spacing w:line="276" w:lineRule="auto"/>
        <w:ind w:left="696"/>
        <w:jc w:val="both"/>
        <w:rPr>
          <w:b/>
          <w:bCs/>
        </w:rPr>
      </w:pPr>
      <w:r w:rsidRPr="00C606BE">
        <w:t>La</w:t>
      </w:r>
      <w:r w:rsidR="00CB006B" w:rsidRPr="00C606BE">
        <w:t xml:space="preserve"> estrategia acelerada para la reducción de mortalidad materna con énfasis en mujeres pobres, rurales o indígena</w:t>
      </w:r>
      <w:r w:rsidR="003C018C" w:rsidRPr="00C606BE">
        <w:t xml:space="preserve">, que ha permitido </w:t>
      </w:r>
      <w:r w:rsidR="003C018C" w:rsidRPr="00C606BE">
        <w:rPr>
          <w:sz w:val="22"/>
          <w:szCs w:val="22"/>
        </w:rPr>
        <w:t xml:space="preserve">la reducción de </w:t>
      </w:r>
      <w:r w:rsidR="003C018C" w:rsidRPr="00C606BE">
        <w:rPr>
          <w:b/>
          <w:bCs/>
          <w:sz w:val="22"/>
          <w:szCs w:val="22"/>
        </w:rPr>
        <w:t>razón de muerte materna</w:t>
      </w:r>
      <w:r w:rsidR="003C018C" w:rsidRPr="00C606BE">
        <w:rPr>
          <w:sz w:val="22"/>
          <w:szCs w:val="22"/>
        </w:rPr>
        <w:t xml:space="preserve"> de 219 x 100,000 nacidos vivos en el año 1989, a 113 x 100,000 en el 2018.  </w:t>
      </w:r>
    </w:p>
    <w:p w14:paraId="15E40B41" w14:textId="225CF89A" w:rsidR="006D702F" w:rsidRPr="00C606BE" w:rsidRDefault="006D702F" w:rsidP="00CB006B">
      <w:pPr>
        <w:pStyle w:val="Prrafodelista"/>
        <w:numPr>
          <w:ilvl w:val="0"/>
          <w:numId w:val="9"/>
        </w:numPr>
        <w:spacing w:line="276" w:lineRule="auto"/>
        <w:jc w:val="both"/>
        <w:rPr>
          <w:b/>
          <w:bCs/>
        </w:rPr>
      </w:pPr>
      <w:r w:rsidRPr="00C606BE">
        <w:rPr>
          <w:rFonts w:cstheme="minorHAnsi"/>
        </w:rPr>
        <w:t>Se</w:t>
      </w:r>
      <w:r w:rsidR="00CB006B" w:rsidRPr="00C606BE">
        <w:rPr>
          <w:rFonts w:cstheme="minorHAnsi"/>
        </w:rPr>
        <w:t xml:space="preserve"> </w:t>
      </w:r>
      <w:r w:rsidR="00C606BE" w:rsidRPr="00C606BE">
        <w:rPr>
          <w:rFonts w:cstheme="minorHAnsi"/>
        </w:rPr>
        <w:t>promueve</w:t>
      </w:r>
      <w:r w:rsidR="00CB006B" w:rsidRPr="00C606BE">
        <w:rPr>
          <w:rFonts w:cstheme="minorHAnsi"/>
        </w:rPr>
        <w:t xml:space="preserve"> </w:t>
      </w:r>
      <w:r w:rsidR="004B22CF" w:rsidRPr="00C606BE">
        <w:rPr>
          <w:rFonts w:cstheme="minorHAnsi"/>
        </w:rPr>
        <w:t>l</w:t>
      </w:r>
      <w:r w:rsidR="00324A49" w:rsidRPr="00C606BE">
        <w:rPr>
          <w:rFonts w:cstheme="minorHAnsi"/>
        </w:rPr>
        <w:t>a</w:t>
      </w:r>
      <w:r w:rsidR="004B22CF" w:rsidRPr="00C606BE">
        <w:rPr>
          <w:rFonts w:cstheme="minorHAnsi"/>
        </w:rPr>
        <w:t xml:space="preserve"> estrategia PLANEA </w:t>
      </w:r>
      <w:r w:rsidR="00E92DE1" w:rsidRPr="00C606BE">
        <w:rPr>
          <w:rFonts w:cstheme="minorHAnsi"/>
        </w:rPr>
        <w:t xml:space="preserve">para </w:t>
      </w:r>
      <w:r w:rsidR="00CB006B" w:rsidRPr="00C606BE">
        <w:rPr>
          <w:rFonts w:cstheme="minorHAnsi"/>
        </w:rPr>
        <w:t xml:space="preserve">la </w:t>
      </w:r>
      <w:r w:rsidR="003C049F" w:rsidRPr="00C606BE">
        <w:rPr>
          <w:rFonts w:cstheme="minorHAnsi"/>
        </w:rPr>
        <w:t>educación</w:t>
      </w:r>
      <w:r w:rsidR="004B22CF" w:rsidRPr="00C606BE">
        <w:rPr>
          <w:rFonts w:cstheme="minorHAnsi"/>
        </w:rPr>
        <w:t xml:space="preserve">, </w:t>
      </w:r>
      <w:r w:rsidR="00CB006B" w:rsidRPr="00C606BE">
        <w:rPr>
          <w:rFonts w:cstheme="minorHAnsi"/>
        </w:rPr>
        <w:t>atención integral y diferenciada para adolescentes</w:t>
      </w:r>
      <w:r w:rsidR="003C049F" w:rsidRPr="00C606BE">
        <w:rPr>
          <w:rFonts w:cstheme="minorHAnsi"/>
        </w:rPr>
        <w:t xml:space="preserve">, </w:t>
      </w:r>
      <w:r w:rsidR="00066BE7" w:rsidRPr="00C606BE">
        <w:rPr>
          <w:rFonts w:eastAsia="Times New Roman" w:cstheme="minorHAnsi"/>
          <w:kern w:val="24"/>
          <w:lang w:eastAsia="es-ES"/>
        </w:rPr>
        <w:t>de manera ininterrumpida.</w:t>
      </w:r>
      <w:r w:rsidR="00B448CC" w:rsidRPr="00C606BE">
        <w:rPr>
          <w:rFonts w:eastAsia="Times New Roman" w:cstheme="minorHAnsi"/>
          <w:kern w:val="24"/>
          <w:lang w:eastAsia="es-ES"/>
        </w:rPr>
        <w:t xml:space="preserve">  </w:t>
      </w:r>
    </w:p>
    <w:p w14:paraId="76A25330" w14:textId="086809E9" w:rsidR="00CB006B" w:rsidRPr="00C606BE" w:rsidRDefault="00CB006B" w:rsidP="00CB006B">
      <w:pPr>
        <w:pStyle w:val="Prrafodelista"/>
        <w:numPr>
          <w:ilvl w:val="0"/>
          <w:numId w:val="9"/>
        </w:numPr>
        <w:spacing w:line="276" w:lineRule="auto"/>
        <w:jc w:val="both"/>
        <w:rPr>
          <w:b/>
          <w:bCs/>
        </w:rPr>
      </w:pPr>
      <w:r w:rsidRPr="00C606BE">
        <w:t>Se implement</w:t>
      </w:r>
      <w:r w:rsidR="00E92DE1" w:rsidRPr="00C606BE">
        <w:t>o</w:t>
      </w:r>
      <w:r w:rsidRPr="00C606BE">
        <w:t xml:space="preserve"> guías de procesos y procedimientos para atención por etapa de ciclo de vida que considera la capacitación en trato digno y respetuoso, con calidad.</w:t>
      </w:r>
    </w:p>
    <w:p w14:paraId="797149BA" w14:textId="63B9F6CC" w:rsidR="00CB006B" w:rsidRPr="00C606BE" w:rsidRDefault="00CB006B" w:rsidP="00CB006B">
      <w:pPr>
        <w:pStyle w:val="Prrafodelista"/>
        <w:numPr>
          <w:ilvl w:val="0"/>
          <w:numId w:val="9"/>
        </w:numPr>
        <w:jc w:val="both"/>
        <w:rPr>
          <w:b/>
          <w:bCs/>
        </w:rPr>
      </w:pPr>
      <w:r w:rsidRPr="00C606BE">
        <w:t xml:space="preserve">Encuestas realizadas, evidencian que la cobertura de la dispensación multimes de la terapia antirretroviral, aumento de 49% a finales del 2019 a 72% en el segundo trimestre del 2020 (ITPC 2022). </w:t>
      </w:r>
    </w:p>
    <w:p w14:paraId="149640B4" w14:textId="20A6EAC7" w:rsidR="0019705D" w:rsidRPr="00C606BE" w:rsidRDefault="0019705D" w:rsidP="00CB006B">
      <w:pPr>
        <w:pStyle w:val="Prrafodelista"/>
        <w:numPr>
          <w:ilvl w:val="0"/>
          <w:numId w:val="9"/>
        </w:numPr>
        <w:jc w:val="both"/>
      </w:pPr>
      <w:r w:rsidRPr="00C606BE">
        <w:t>Se ha avanzado en el tema de discapacidad con el acuerdo con CONADI-Ministerio de Salud.</w:t>
      </w:r>
    </w:p>
    <w:tbl>
      <w:tblPr>
        <w:tblStyle w:val="Tablaconcuadrcula"/>
        <w:tblW w:w="8926" w:type="dxa"/>
        <w:tblLook w:val="04A0" w:firstRow="1" w:lastRow="0" w:firstColumn="1" w:lastColumn="0" w:noHBand="0" w:noVBand="1"/>
      </w:tblPr>
      <w:tblGrid>
        <w:gridCol w:w="704"/>
        <w:gridCol w:w="8222"/>
      </w:tblGrid>
      <w:tr w:rsidR="00CB006B" w:rsidRPr="00CB006B" w14:paraId="5ABFBF3B" w14:textId="77777777" w:rsidTr="002824EB">
        <w:tc>
          <w:tcPr>
            <w:tcW w:w="704" w:type="dxa"/>
          </w:tcPr>
          <w:p w14:paraId="49263BD4" w14:textId="77777777" w:rsidR="00CB006B" w:rsidRPr="00CB006B" w:rsidRDefault="00CB006B" w:rsidP="00CB006B">
            <w:pPr>
              <w:jc w:val="both"/>
              <w:rPr>
                <w:i/>
                <w:iCs/>
                <w:sz w:val="20"/>
                <w:szCs w:val="20"/>
              </w:rPr>
            </w:pPr>
            <w:r w:rsidRPr="00CB006B">
              <w:rPr>
                <w:i/>
                <w:iCs/>
                <w:sz w:val="20"/>
                <w:szCs w:val="20"/>
              </w:rPr>
              <w:t>47</w:t>
            </w:r>
          </w:p>
        </w:tc>
        <w:tc>
          <w:tcPr>
            <w:tcW w:w="8222" w:type="dxa"/>
          </w:tcPr>
          <w:p w14:paraId="5829E840" w14:textId="09D2B6EE" w:rsidR="00CB006B" w:rsidRPr="00CB006B" w:rsidRDefault="00CB006B" w:rsidP="00CB006B">
            <w:pPr>
              <w:jc w:val="both"/>
              <w:rPr>
                <w:i/>
                <w:iCs/>
                <w:sz w:val="22"/>
                <w:szCs w:val="22"/>
              </w:rPr>
            </w:pPr>
            <w:r w:rsidRPr="00CB006B">
              <w:rPr>
                <w:i/>
                <w:iCs/>
                <w:sz w:val="20"/>
                <w:szCs w:val="20"/>
              </w:rPr>
              <w:t>La comunicación conjunta 2 (JS2) afirmo que en Guatemala carecía de una visión, planes y políticas técnicas de mediano y largo plazo con las cuestiones de salud agudizadas por la pandemia de COVID 1, en particular en las zonas indígenas y rurales.  También carecía de inversiones.  AI recomendó incrementar gradualmente el gasto público en salud para que alcanzase el mínimo del 6% del producto interno bruto sugerido por la Organización Mundial de la Salud</w:t>
            </w:r>
          </w:p>
        </w:tc>
      </w:tr>
      <w:tr w:rsidR="00CB006B" w:rsidRPr="00CB006B" w14:paraId="0230615F" w14:textId="77777777" w:rsidTr="00611E71">
        <w:tc>
          <w:tcPr>
            <w:tcW w:w="704" w:type="dxa"/>
          </w:tcPr>
          <w:p w14:paraId="09182E6D" w14:textId="77777777" w:rsidR="00CB006B" w:rsidRPr="00CB006B" w:rsidRDefault="00CB006B" w:rsidP="00CB006B">
            <w:pPr>
              <w:jc w:val="both"/>
              <w:rPr>
                <w:i/>
                <w:iCs/>
                <w:sz w:val="20"/>
                <w:szCs w:val="20"/>
              </w:rPr>
            </w:pPr>
            <w:r w:rsidRPr="00CB006B">
              <w:rPr>
                <w:i/>
                <w:iCs/>
                <w:sz w:val="20"/>
                <w:szCs w:val="20"/>
              </w:rPr>
              <w:t>48</w:t>
            </w:r>
          </w:p>
        </w:tc>
        <w:tc>
          <w:tcPr>
            <w:tcW w:w="8222" w:type="dxa"/>
          </w:tcPr>
          <w:p w14:paraId="5037A7E2" w14:textId="09A96FFE" w:rsidR="00CB006B" w:rsidRPr="00CB006B" w:rsidRDefault="00CB006B" w:rsidP="00CB006B">
            <w:pPr>
              <w:jc w:val="both"/>
              <w:rPr>
                <w:i/>
                <w:iCs/>
                <w:sz w:val="22"/>
                <w:szCs w:val="22"/>
              </w:rPr>
            </w:pPr>
            <w:r w:rsidRPr="00CB006B">
              <w:rPr>
                <w:i/>
                <w:iCs/>
                <w:sz w:val="20"/>
                <w:szCs w:val="20"/>
              </w:rPr>
              <w:t xml:space="preserve">El Center for Family and Human Rigths (c-Fam), informó que las tasas de mortalidad materna en Guatemala seguían estando elevadas en la región, principalmente entre mujeres que vivían en zonas rurales.  ADF afirmo que el elevado número de muertes maternas en Guatemala debía abordarse como una prioridad urgente y por lo tanto, los recursos debían dirigirse a mejorar las condiciones de </w:t>
            </w:r>
            <w:r w:rsidRPr="00CB006B">
              <w:rPr>
                <w:i/>
                <w:iCs/>
                <w:sz w:val="20"/>
                <w:szCs w:val="20"/>
              </w:rPr>
              <w:lastRenderedPageBreak/>
              <w:t>las mujeres durante el embarazo, el parto y después del parto.  ADF recomendó mejorar el acceso a la atención materna de calidad para las mujeres pobres, rurales o indígena.</w:t>
            </w:r>
          </w:p>
        </w:tc>
      </w:tr>
      <w:tr w:rsidR="00CB006B" w:rsidRPr="00CB006B" w14:paraId="59EDD279" w14:textId="77777777" w:rsidTr="00396580">
        <w:tc>
          <w:tcPr>
            <w:tcW w:w="704" w:type="dxa"/>
          </w:tcPr>
          <w:p w14:paraId="15142BF1" w14:textId="77777777" w:rsidR="00CB006B" w:rsidRPr="00CB006B" w:rsidRDefault="00CB006B" w:rsidP="00CB006B">
            <w:pPr>
              <w:jc w:val="center"/>
              <w:rPr>
                <w:i/>
                <w:iCs/>
                <w:sz w:val="20"/>
                <w:szCs w:val="20"/>
              </w:rPr>
            </w:pPr>
            <w:r w:rsidRPr="00CB006B">
              <w:rPr>
                <w:i/>
                <w:iCs/>
                <w:sz w:val="20"/>
                <w:szCs w:val="20"/>
              </w:rPr>
              <w:lastRenderedPageBreak/>
              <w:t>49</w:t>
            </w:r>
          </w:p>
        </w:tc>
        <w:tc>
          <w:tcPr>
            <w:tcW w:w="8222" w:type="dxa"/>
          </w:tcPr>
          <w:p w14:paraId="18D2615C" w14:textId="2432D966" w:rsidR="00CB006B" w:rsidRPr="00CB006B" w:rsidRDefault="00CB006B" w:rsidP="00CB006B">
            <w:pPr>
              <w:rPr>
                <w:rFonts w:cstheme="minorHAnsi"/>
                <w:i/>
                <w:iCs/>
                <w:sz w:val="22"/>
                <w:szCs w:val="22"/>
              </w:rPr>
            </w:pPr>
            <w:r w:rsidRPr="00CB006B">
              <w:rPr>
                <w:i/>
                <w:iCs/>
                <w:sz w:val="20"/>
                <w:szCs w:val="20"/>
              </w:rPr>
              <w:t>La JS10 La comunicación conjunta 24 (JS24) y la comunicación conjunta 26 (JS26) destacaron diferentes medidas legislativas introducidas a fin de limitar los derechos sexuales y reproductivos, contra el aborto y la diversidad, y a favor de la familia.  La JS2 subrayo la importancia de aumentar los esfuerzos para abordar la salud sexual y reproductiva, en particular para las mujeres indígenas.  La JS10 recomendó incorporar los derechos sexuales y reproductivos como prioridad en la agenda nacional y diseñar e implementar planes, programas y protocolos en el ámbito de salud sexual y reproductiva destinados a mujeres indígenas, mujeres con discapacidad y mujeres de identidades sexuales.  La JS10 recomendó adoptar medidas y campañas informativas y de sensibilización para hacer frente a la violencia sexual y los embarazos, maternidad no deseada en niñas, adolescentes, mujeres jóvenes y mujeres.</w:t>
            </w:r>
          </w:p>
        </w:tc>
      </w:tr>
      <w:tr w:rsidR="00CB006B" w:rsidRPr="00CB006B" w14:paraId="6F088E80" w14:textId="77777777" w:rsidTr="00CE0FC3">
        <w:tc>
          <w:tcPr>
            <w:tcW w:w="704" w:type="dxa"/>
          </w:tcPr>
          <w:p w14:paraId="13B053D0" w14:textId="77777777" w:rsidR="00CB006B" w:rsidRPr="00CB006B" w:rsidRDefault="00CB006B" w:rsidP="00CB006B">
            <w:pPr>
              <w:jc w:val="center"/>
              <w:rPr>
                <w:i/>
                <w:iCs/>
                <w:sz w:val="20"/>
                <w:szCs w:val="20"/>
              </w:rPr>
            </w:pPr>
            <w:r w:rsidRPr="00CB006B">
              <w:rPr>
                <w:i/>
                <w:iCs/>
                <w:sz w:val="20"/>
                <w:szCs w:val="20"/>
              </w:rPr>
              <w:t>50</w:t>
            </w:r>
          </w:p>
        </w:tc>
        <w:tc>
          <w:tcPr>
            <w:tcW w:w="8222" w:type="dxa"/>
          </w:tcPr>
          <w:p w14:paraId="0B664F9A" w14:textId="5ACC28EF" w:rsidR="00CB006B" w:rsidRPr="00CB006B" w:rsidRDefault="00CB006B" w:rsidP="00CB006B">
            <w:pPr>
              <w:jc w:val="both"/>
              <w:rPr>
                <w:i/>
                <w:iCs/>
                <w:sz w:val="22"/>
                <w:szCs w:val="22"/>
              </w:rPr>
            </w:pPr>
            <w:r w:rsidRPr="00CB006B">
              <w:rPr>
                <w:i/>
                <w:iCs/>
                <w:sz w:val="20"/>
                <w:szCs w:val="20"/>
              </w:rPr>
              <w:t>La JS27 informó que las mujeres indígenas seguían sufriendo un trato discriminatorio en los centros hospitalarios. Recomendó ampliar la cobertura y acceso a los servicios sanitarios en todo el territorio, asignar recursos específicos y desarrollar campañas y programas de formación para los proveedores de servicios sanitarios.</w:t>
            </w:r>
          </w:p>
        </w:tc>
      </w:tr>
      <w:tr w:rsidR="00CB006B" w:rsidRPr="00CB006B" w14:paraId="04A0F4A1" w14:textId="77777777" w:rsidTr="007A55F1">
        <w:tc>
          <w:tcPr>
            <w:tcW w:w="704" w:type="dxa"/>
          </w:tcPr>
          <w:p w14:paraId="552B4652" w14:textId="77777777" w:rsidR="00CB006B" w:rsidRPr="00CB006B" w:rsidRDefault="00CB006B" w:rsidP="00CB006B">
            <w:pPr>
              <w:jc w:val="both"/>
              <w:rPr>
                <w:i/>
                <w:iCs/>
                <w:sz w:val="20"/>
                <w:szCs w:val="20"/>
              </w:rPr>
            </w:pPr>
            <w:r w:rsidRPr="00CB006B">
              <w:rPr>
                <w:i/>
                <w:iCs/>
                <w:sz w:val="20"/>
                <w:szCs w:val="20"/>
              </w:rPr>
              <w:t>52</w:t>
            </w:r>
          </w:p>
        </w:tc>
        <w:tc>
          <w:tcPr>
            <w:tcW w:w="8222" w:type="dxa"/>
          </w:tcPr>
          <w:p w14:paraId="3A9F1978" w14:textId="4FA33B5A" w:rsidR="00CB006B" w:rsidRPr="00CB006B" w:rsidRDefault="00CB006B" w:rsidP="00CB006B">
            <w:pPr>
              <w:jc w:val="both"/>
              <w:rPr>
                <w:i/>
                <w:iCs/>
                <w:sz w:val="22"/>
                <w:szCs w:val="22"/>
              </w:rPr>
            </w:pPr>
            <w:r w:rsidRPr="00CB006B">
              <w:rPr>
                <w:i/>
                <w:iCs/>
                <w:sz w:val="20"/>
                <w:szCs w:val="20"/>
              </w:rPr>
              <w:t>La JS10 informó que la pandemia había reducido la disponibilidad de métodos anticonceptivos y tratamientos que viven con el VIH/SIDA.  La JS23 recomendó implementar un programa para prestar atención a las personas que vivían con VIH y JS24 añadió que era culturalmente competente.</w:t>
            </w:r>
          </w:p>
        </w:tc>
      </w:tr>
    </w:tbl>
    <w:p w14:paraId="340FF80B" w14:textId="77777777" w:rsidR="00C85308" w:rsidRDefault="00C85308" w:rsidP="008D2F20"/>
    <w:sectPr w:rsidR="00C85308">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0372" w14:textId="77777777" w:rsidR="007738D9" w:rsidRDefault="007738D9" w:rsidP="006372D2">
      <w:pPr>
        <w:spacing w:after="0" w:line="240" w:lineRule="auto"/>
      </w:pPr>
      <w:r>
        <w:separator/>
      </w:r>
    </w:p>
  </w:endnote>
  <w:endnote w:type="continuationSeparator" w:id="0">
    <w:p w14:paraId="73F71548" w14:textId="77777777" w:rsidR="007738D9" w:rsidRDefault="007738D9" w:rsidP="0063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626527"/>
      <w:docPartObj>
        <w:docPartGallery w:val="Page Numbers (Bottom of Page)"/>
        <w:docPartUnique/>
      </w:docPartObj>
    </w:sdtPr>
    <w:sdtContent>
      <w:p w14:paraId="0B9B1699" w14:textId="56FDB3B0" w:rsidR="006372D2" w:rsidRDefault="006372D2">
        <w:pPr>
          <w:pStyle w:val="Piedepgina"/>
          <w:jc w:val="center"/>
        </w:pPr>
        <w:r>
          <w:fldChar w:fldCharType="begin"/>
        </w:r>
        <w:r>
          <w:instrText>PAGE   \* MERGEFORMAT</w:instrText>
        </w:r>
        <w:r>
          <w:fldChar w:fldCharType="separate"/>
        </w:r>
        <w:r>
          <w:rPr>
            <w:lang w:val="es-ES"/>
          </w:rPr>
          <w:t>2</w:t>
        </w:r>
        <w:r>
          <w:fldChar w:fldCharType="end"/>
        </w:r>
      </w:p>
    </w:sdtContent>
  </w:sdt>
  <w:p w14:paraId="3C961436" w14:textId="77777777" w:rsidR="006372D2" w:rsidRDefault="006372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76C3B" w14:textId="77777777" w:rsidR="007738D9" w:rsidRDefault="007738D9" w:rsidP="006372D2">
      <w:pPr>
        <w:spacing w:after="0" w:line="240" w:lineRule="auto"/>
      </w:pPr>
      <w:r>
        <w:separator/>
      </w:r>
    </w:p>
  </w:footnote>
  <w:footnote w:type="continuationSeparator" w:id="0">
    <w:p w14:paraId="419C049C" w14:textId="77777777" w:rsidR="007738D9" w:rsidRDefault="007738D9" w:rsidP="006372D2">
      <w:pPr>
        <w:spacing w:after="0" w:line="240" w:lineRule="auto"/>
      </w:pPr>
      <w:r>
        <w:continuationSeparator/>
      </w:r>
    </w:p>
  </w:footnote>
  <w:footnote w:id="1">
    <w:p w14:paraId="6DDC5091" w14:textId="77777777" w:rsidR="001B0E86" w:rsidRDefault="001B0E86">
      <w:pPr>
        <w:pStyle w:val="Textonotapie"/>
      </w:pPr>
      <w:r>
        <w:rPr>
          <w:rStyle w:val="Refdenotaalpie"/>
        </w:rPr>
        <w:footnoteRef/>
      </w:r>
      <w:r>
        <w:t xml:space="preserve"> </w:t>
      </w:r>
    </w:p>
    <w:tbl>
      <w:tblPr>
        <w:tblStyle w:val="Tablaconcuadrcula"/>
        <w:tblW w:w="9072" w:type="dxa"/>
        <w:tblInd w:w="-5" w:type="dxa"/>
        <w:tblLook w:val="04A0" w:firstRow="1" w:lastRow="0" w:firstColumn="1" w:lastColumn="0" w:noHBand="0" w:noVBand="1"/>
      </w:tblPr>
      <w:tblGrid>
        <w:gridCol w:w="1651"/>
        <w:gridCol w:w="7421"/>
      </w:tblGrid>
      <w:tr w:rsidR="001B0E86" w:rsidRPr="001B0E86" w14:paraId="0BCA4113" w14:textId="77777777" w:rsidTr="007F2492">
        <w:tc>
          <w:tcPr>
            <w:tcW w:w="1651" w:type="dxa"/>
          </w:tcPr>
          <w:p w14:paraId="380BCBB4" w14:textId="77777777" w:rsidR="001B0E86" w:rsidRPr="001B0E86" w:rsidRDefault="001B0E86" w:rsidP="001B0E86">
            <w:pPr>
              <w:jc w:val="both"/>
              <w:rPr>
                <w:i/>
                <w:iCs/>
                <w:sz w:val="18"/>
                <w:szCs w:val="18"/>
              </w:rPr>
            </w:pPr>
            <w:r w:rsidRPr="001B0E86">
              <w:rPr>
                <w:i/>
                <w:iCs/>
                <w:sz w:val="18"/>
                <w:szCs w:val="18"/>
              </w:rPr>
              <w:t>Recomendación</w:t>
            </w:r>
          </w:p>
        </w:tc>
        <w:tc>
          <w:tcPr>
            <w:tcW w:w="7421" w:type="dxa"/>
          </w:tcPr>
          <w:p w14:paraId="37928A23" w14:textId="77777777" w:rsidR="001B0E86" w:rsidRPr="001B0E86" w:rsidRDefault="001B0E86" w:rsidP="001B0E86">
            <w:pPr>
              <w:jc w:val="both"/>
              <w:rPr>
                <w:i/>
                <w:iCs/>
                <w:sz w:val="18"/>
                <w:szCs w:val="18"/>
              </w:rPr>
            </w:pPr>
            <w:r w:rsidRPr="001B0E86">
              <w:rPr>
                <w:i/>
                <w:iCs/>
                <w:sz w:val="18"/>
                <w:szCs w:val="18"/>
              </w:rPr>
              <w:t>Descripción</w:t>
            </w:r>
          </w:p>
        </w:tc>
      </w:tr>
      <w:tr w:rsidR="001B0E86" w:rsidRPr="001B0E86" w14:paraId="18D89204" w14:textId="77777777" w:rsidTr="007F2492">
        <w:tc>
          <w:tcPr>
            <w:tcW w:w="1651" w:type="dxa"/>
          </w:tcPr>
          <w:p w14:paraId="692F4001" w14:textId="77777777" w:rsidR="001B0E86" w:rsidRPr="001B0E86" w:rsidRDefault="001B0E86" w:rsidP="001B0E86">
            <w:pPr>
              <w:rPr>
                <w:i/>
                <w:iCs/>
                <w:sz w:val="18"/>
                <w:szCs w:val="18"/>
              </w:rPr>
            </w:pPr>
            <w:r w:rsidRPr="001B0E86">
              <w:rPr>
                <w:i/>
                <w:iCs/>
                <w:sz w:val="18"/>
                <w:szCs w:val="18"/>
              </w:rPr>
              <w:t>111.79</w:t>
            </w:r>
          </w:p>
        </w:tc>
        <w:tc>
          <w:tcPr>
            <w:tcW w:w="7421" w:type="dxa"/>
          </w:tcPr>
          <w:p w14:paraId="54B758DA" w14:textId="77777777" w:rsidR="001B0E86" w:rsidRPr="001B0E86" w:rsidRDefault="001B0E86" w:rsidP="001B0E86">
            <w:pPr>
              <w:jc w:val="both"/>
              <w:rPr>
                <w:i/>
                <w:iCs/>
                <w:sz w:val="18"/>
                <w:szCs w:val="18"/>
              </w:rPr>
            </w:pPr>
            <w:r w:rsidRPr="001B0E86">
              <w:rPr>
                <w:i/>
                <w:iCs/>
                <w:sz w:val="18"/>
                <w:szCs w:val="18"/>
              </w:rPr>
              <w:t>Aplicar medidas para facilitar el acceso a la atención de la salud y educación, en particular para las poblaciones más vulnerables (Angola)</w:t>
            </w:r>
          </w:p>
        </w:tc>
      </w:tr>
      <w:tr w:rsidR="001B0E86" w:rsidRPr="001B0E86" w14:paraId="09F96D8E" w14:textId="77777777" w:rsidTr="007F2492">
        <w:tc>
          <w:tcPr>
            <w:tcW w:w="1651" w:type="dxa"/>
          </w:tcPr>
          <w:p w14:paraId="47666FBB" w14:textId="77777777" w:rsidR="001B0E86" w:rsidRPr="001B0E86" w:rsidRDefault="001B0E86" w:rsidP="001B0E86">
            <w:pPr>
              <w:rPr>
                <w:i/>
                <w:iCs/>
                <w:sz w:val="18"/>
                <w:szCs w:val="18"/>
              </w:rPr>
            </w:pPr>
            <w:r w:rsidRPr="001B0E86">
              <w:rPr>
                <w:i/>
                <w:iCs/>
                <w:sz w:val="18"/>
                <w:szCs w:val="18"/>
              </w:rPr>
              <w:t>111.80</w:t>
            </w:r>
          </w:p>
        </w:tc>
        <w:tc>
          <w:tcPr>
            <w:tcW w:w="7421" w:type="dxa"/>
          </w:tcPr>
          <w:p w14:paraId="3FD92F54" w14:textId="77777777" w:rsidR="001B0E86" w:rsidRPr="001B0E86" w:rsidRDefault="001B0E86" w:rsidP="001B0E86">
            <w:pPr>
              <w:jc w:val="both"/>
              <w:rPr>
                <w:i/>
                <w:iCs/>
                <w:sz w:val="18"/>
                <w:szCs w:val="18"/>
              </w:rPr>
            </w:pPr>
            <w:r w:rsidRPr="001B0E86">
              <w:rPr>
                <w:i/>
                <w:iCs/>
                <w:sz w:val="18"/>
                <w:szCs w:val="18"/>
              </w:rPr>
              <w:t>Respaldar los esfuerzos para combatir la desnutrición infantil y seguir fortaleciendo los programas de erradicación de la pobreza y la extrema pobreza (Alemania)</w:t>
            </w:r>
          </w:p>
        </w:tc>
      </w:tr>
      <w:tr w:rsidR="001B0E86" w:rsidRPr="001B0E86" w14:paraId="3EEDB95F" w14:textId="77777777" w:rsidTr="007F2492">
        <w:tc>
          <w:tcPr>
            <w:tcW w:w="1651" w:type="dxa"/>
          </w:tcPr>
          <w:p w14:paraId="40EC915D" w14:textId="77777777" w:rsidR="001B0E86" w:rsidRPr="001B0E86" w:rsidRDefault="001B0E86" w:rsidP="001B0E86">
            <w:pPr>
              <w:rPr>
                <w:i/>
                <w:iCs/>
                <w:sz w:val="18"/>
                <w:szCs w:val="18"/>
              </w:rPr>
            </w:pPr>
            <w:r w:rsidRPr="001B0E86">
              <w:rPr>
                <w:i/>
                <w:iCs/>
                <w:sz w:val="18"/>
                <w:szCs w:val="18"/>
              </w:rPr>
              <w:t>111.81</w:t>
            </w:r>
          </w:p>
        </w:tc>
        <w:tc>
          <w:tcPr>
            <w:tcW w:w="7421" w:type="dxa"/>
          </w:tcPr>
          <w:p w14:paraId="4E918024" w14:textId="77777777" w:rsidR="001B0E86" w:rsidRPr="001B0E86" w:rsidRDefault="001B0E86" w:rsidP="001B0E86">
            <w:pPr>
              <w:jc w:val="both"/>
              <w:rPr>
                <w:i/>
                <w:iCs/>
                <w:sz w:val="18"/>
                <w:szCs w:val="18"/>
              </w:rPr>
            </w:pPr>
            <w:r w:rsidRPr="001B0E86">
              <w:rPr>
                <w:i/>
                <w:iCs/>
                <w:sz w:val="18"/>
                <w:szCs w:val="18"/>
              </w:rPr>
              <w:t>Asignar los recursos humanos y financieros necesarios para una pronta aplicación de la Estrategia Nacional Para Prevenir la Desnutrición Crónica. 2016-2020 (Honduras)</w:t>
            </w:r>
          </w:p>
        </w:tc>
      </w:tr>
      <w:tr w:rsidR="001B0E86" w:rsidRPr="001B0E86" w14:paraId="399B5F30" w14:textId="77777777" w:rsidTr="007F2492">
        <w:tc>
          <w:tcPr>
            <w:tcW w:w="1651" w:type="dxa"/>
          </w:tcPr>
          <w:p w14:paraId="40ED589D" w14:textId="77777777" w:rsidR="001B0E86" w:rsidRPr="001B0E86" w:rsidRDefault="001B0E86" w:rsidP="001B0E86">
            <w:pPr>
              <w:rPr>
                <w:i/>
                <w:iCs/>
                <w:sz w:val="18"/>
                <w:szCs w:val="18"/>
              </w:rPr>
            </w:pPr>
            <w:r w:rsidRPr="001B0E86">
              <w:rPr>
                <w:i/>
                <w:iCs/>
                <w:sz w:val="18"/>
                <w:szCs w:val="18"/>
              </w:rPr>
              <w:t>111.83</w:t>
            </w:r>
          </w:p>
        </w:tc>
        <w:tc>
          <w:tcPr>
            <w:tcW w:w="7421" w:type="dxa"/>
          </w:tcPr>
          <w:p w14:paraId="6C6D5679" w14:textId="77777777" w:rsidR="001B0E86" w:rsidRPr="001B0E86" w:rsidRDefault="001B0E86" w:rsidP="001B0E86">
            <w:pPr>
              <w:jc w:val="both"/>
              <w:rPr>
                <w:i/>
                <w:iCs/>
                <w:sz w:val="18"/>
                <w:szCs w:val="18"/>
              </w:rPr>
            </w:pPr>
            <w:r w:rsidRPr="001B0E86">
              <w:rPr>
                <w:i/>
                <w:iCs/>
                <w:sz w:val="18"/>
                <w:szCs w:val="18"/>
              </w:rPr>
              <w:t>Elaborar y aplicar políticas integrales y eficaces de lucha contra la pobreza, y en particular la desnutrición crónica y aguda (Noruega)</w:t>
            </w:r>
          </w:p>
        </w:tc>
      </w:tr>
      <w:tr w:rsidR="001B0E86" w:rsidRPr="001B0E86" w14:paraId="38CDE58C" w14:textId="77777777" w:rsidTr="007F2492">
        <w:tc>
          <w:tcPr>
            <w:tcW w:w="1651" w:type="dxa"/>
          </w:tcPr>
          <w:p w14:paraId="189F7866" w14:textId="77777777" w:rsidR="001B0E86" w:rsidRPr="001B0E86" w:rsidRDefault="001B0E86" w:rsidP="001B0E86">
            <w:pPr>
              <w:rPr>
                <w:i/>
                <w:iCs/>
                <w:sz w:val="18"/>
                <w:szCs w:val="18"/>
              </w:rPr>
            </w:pPr>
            <w:r w:rsidRPr="001B0E86">
              <w:rPr>
                <w:i/>
                <w:iCs/>
                <w:sz w:val="18"/>
                <w:szCs w:val="18"/>
              </w:rPr>
              <w:t>111.84</w:t>
            </w:r>
          </w:p>
        </w:tc>
        <w:tc>
          <w:tcPr>
            <w:tcW w:w="7421" w:type="dxa"/>
          </w:tcPr>
          <w:p w14:paraId="38DAB13B" w14:textId="77777777" w:rsidR="001B0E86" w:rsidRPr="001B0E86" w:rsidRDefault="001B0E86" w:rsidP="001B0E86">
            <w:pPr>
              <w:jc w:val="both"/>
              <w:rPr>
                <w:i/>
                <w:iCs/>
                <w:sz w:val="18"/>
                <w:szCs w:val="18"/>
              </w:rPr>
            </w:pPr>
            <w:r w:rsidRPr="001B0E86">
              <w:rPr>
                <w:i/>
                <w:iCs/>
                <w:sz w:val="18"/>
                <w:szCs w:val="18"/>
              </w:rPr>
              <w:t>Seguir trabajando para aplicar la Estrategia Nacional para la Prevención de la Desnutrición Crónica 2016-2020 y fortalecer el Programa de Asistencia Alimentaria para prevenir la inseguridad Alimentaria. (Pakistán)</w:t>
            </w:r>
          </w:p>
        </w:tc>
      </w:tr>
      <w:tr w:rsidR="001B0E86" w:rsidRPr="001B0E86" w14:paraId="7C2C800D" w14:textId="77777777" w:rsidTr="007F2492">
        <w:tc>
          <w:tcPr>
            <w:tcW w:w="1651" w:type="dxa"/>
          </w:tcPr>
          <w:p w14:paraId="4DEBFFC7" w14:textId="77777777" w:rsidR="001B0E86" w:rsidRPr="001B0E86" w:rsidRDefault="001B0E86" w:rsidP="001B0E86">
            <w:pPr>
              <w:rPr>
                <w:i/>
                <w:iCs/>
                <w:sz w:val="18"/>
                <w:szCs w:val="18"/>
              </w:rPr>
            </w:pPr>
            <w:r w:rsidRPr="001B0E86">
              <w:rPr>
                <w:i/>
                <w:iCs/>
                <w:sz w:val="18"/>
                <w:szCs w:val="18"/>
              </w:rPr>
              <w:t>111.85</w:t>
            </w:r>
          </w:p>
        </w:tc>
        <w:tc>
          <w:tcPr>
            <w:tcW w:w="7421" w:type="dxa"/>
          </w:tcPr>
          <w:p w14:paraId="71C05FEA" w14:textId="77777777" w:rsidR="001B0E86" w:rsidRPr="001B0E86" w:rsidRDefault="001B0E86" w:rsidP="001B0E86">
            <w:pPr>
              <w:jc w:val="both"/>
              <w:rPr>
                <w:i/>
                <w:iCs/>
                <w:sz w:val="18"/>
                <w:szCs w:val="18"/>
              </w:rPr>
            </w:pPr>
            <w:r w:rsidRPr="001B0E86">
              <w:rPr>
                <w:i/>
                <w:iCs/>
                <w:sz w:val="18"/>
                <w:szCs w:val="18"/>
              </w:rPr>
              <w:t>Intensificar los esfuerzos para prevenir y erradicar la desnutrición crónica, especialmente entre los niños que viven en zonas rurales y remotas. (Panamá)</w:t>
            </w:r>
          </w:p>
        </w:tc>
      </w:tr>
      <w:tr w:rsidR="001B0E86" w:rsidRPr="001B0E86" w14:paraId="2CB7BDC4" w14:textId="77777777" w:rsidTr="007F2492">
        <w:tc>
          <w:tcPr>
            <w:tcW w:w="1651" w:type="dxa"/>
          </w:tcPr>
          <w:p w14:paraId="5239703A" w14:textId="77777777" w:rsidR="001B0E86" w:rsidRPr="001B0E86" w:rsidRDefault="001B0E86" w:rsidP="001B0E86">
            <w:pPr>
              <w:rPr>
                <w:i/>
                <w:iCs/>
                <w:sz w:val="18"/>
                <w:szCs w:val="18"/>
              </w:rPr>
            </w:pPr>
            <w:r w:rsidRPr="001B0E86">
              <w:rPr>
                <w:i/>
                <w:iCs/>
                <w:sz w:val="18"/>
                <w:szCs w:val="18"/>
              </w:rPr>
              <w:t>111.86</w:t>
            </w:r>
          </w:p>
        </w:tc>
        <w:tc>
          <w:tcPr>
            <w:tcW w:w="7421" w:type="dxa"/>
          </w:tcPr>
          <w:p w14:paraId="00934481" w14:textId="77777777" w:rsidR="001B0E86" w:rsidRPr="001B0E86" w:rsidRDefault="001B0E86" w:rsidP="001B0E86">
            <w:pPr>
              <w:jc w:val="both"/>
              <w:rPr>
                <w:i/>
                <w:iCs/>
                <w:sz w:val="18"/>
                <w:szCs w:val="18"/>
              </w:rPr>
            </w:pPr>
            <w:r w:rsidRPr="001B0E86">
              <w:rPr>
                <w:i/>
                <w:iCs/>
                <w:sz w:val="18"/>
                <w:szCs w:val="18"/>
              </w:rPr>
              <w:t>Continuar con los esfuerzos para luchar con la desnutrición infantil, especialmente en la población indígena (Perú)</w:t>
            </w:r>
          </w:p>
        </w:tc>
      </w:tr>
      <w:tr w:rsidR="001B0E86" w:rsidRPr="001B0E86" w14:paraId="5100114D" w14:textId="77777777" w:rsidTr="007F2492">
        <w:tc>
          <w:tcPr>
            <w:tcW w:w="1651" w:type="dxa"/>
          </w:tcPr>
          <w:p w14:paraId="1FF7C4D3" w14:textId="77777777" w:rsidR="001B0E86" w:rsidRPr="001B0E86" w:rsidRDefault="001B0E86" w:rsidP="001B0E86">
            <w:pPr>
              <w:rPr>
                <w:i/>
                <w:iCs/>
                <w:sz w:val="18"/>
                <w:szCs w:val="18"/>
              </w:rPr>
            </w:pPr>
            <w:r w:rsidRPr="001B0E86">
              <w:rPr>
                <w:i/>
                <w:iCs/>
                <w:sz w:val="18"/>
                <w:szCs w:val="18"/>
              </w:rPr>
              <w:t>111.87</w:t>
            </w:r>
          </w:p>
        </w:tc>
        <w:tc>
          <w:tcPr>
            <w:tcW w:w="7421" w:type="dxa"/>
          </w:tcPr>
          <w:p w14:paraId="7F468F9A" w14:textId="77777777" w:rsidR="001B0E86" w:rsidRPr="001B0E86" w:rsidRDefault="001B0E86" w:rsidP="001B0E86">
            <w:pPr>
              <w:jc w:val="both"/>
              <w:rPr>
                <w:i/>
                <w:iCs/>
                <w:sz w:val="18"/>
                <w:szCs w:val="18"/>
              </w:rPr>
            </w:pPr>
            <w:r w:rsidRPr="001B0E86">
              <w:rPr>
                <w:i/>
                <w:iCs/>
                <w:sz w:val="18"/>
                <w:szCs w:val="18"/>
              </w:rPr>
              <w:t>Intensificar los esfuerzos para combatir y prevenir la desnutrición infantil (Timor-Leste)</w:t>
            </w:r>
          </w:p>
        </w:tc>
      </w:tr>
      <w:tr w:rsidR="001B0E86" w:rsidRPr="001B0E86" w14:paraId="416321A7" w14:textId="77777777" w:rsidTr="007F2492">
        <w:tc>
          <w:tcPr>
            <w:tcW w:w="1651" w:type="dxa"/>
          </w:tcPr>
          <w:p w14:paraId="0AA48D12" w14:textId="77777777" w:rsidR="001B0E86" w:rsidRPr="001B0E86" w:rsidRDefault="001B0E86" w:rsidP="001B0E86">
            <w:pPr>
              <w:rPr>
                <w:i/>
                <w:iCs/>
                <w:sz w:val="18"/>
                <w:szCs w:val="18"/>
              </w:rPr>
            </w:pPr>
            <w:r w:rsidRPr="001B0E86">
              <w:rPr>
                <w:i/>
                <w:iCs/>
                <w:sz w:val="18"/>
                <w:szCs w:val="18"/>
              </w:rPr>
              <w:t>111.88</w:t>
            </w:r>
          </w:p>
        </w:tc>
        <w:tc>
          <w:tcPr>
            <w:tcW w:w="7421" w:type="dxa"/>
          </w:tcPr>
          <w:p w14:paraId="65C493B3" w14:textId="77777777" w:rsidR="001B0E86" w:rsidRPr="001B0E86" w:rsidRDefault="001B0E86" w:rsidP="001B0E86">
            <w:pPr>
              <w:jc w:val="both"/>
              <w:rPr>
                <w:i/>
                <w:iCs/>
                <w:sz w:val="18"/>
                <w:szCs w:val="18"/>
              </w:rPr>
            </w:pPr>
            <w:r w:rsidRPr="001B0E86">
              <w:rPr>
                <w:i/>
                <w:iCs/>
                <w:sz w:val="18"/>
                <w:szCs w:val="18"/>
              </w:rPr>
              <w:t>Abordar las causas estructurales de la pobreza que sufren las comunidades económicamente más vulnerables, en particular en lo que respecta a la desnutrición crónica.</w:t>
            </w:r>
          </w:p>
        </w:tc>
      </w:tr>
      <w:tr w:rsidR="001B0E86" w:rsidRPr="001B0E86" w14:paraId="2B75B43F" w14:textId="77777777" w:rsidTr="007F2492">
        <w:tc>
          <w:tcPr>
            <w:tcW w:w="1651" w:type="dxa"/>
          </w:tcPr>
          <w:p w14:paraId="130EE587" w14:textId="77777777" w:rsidR="001B0E86" w:rsidRPr="001B0E86" w:rsidRDefault="001B0E86" w:rsidP="001B0E86">
            <w:pPr>
              <w:rPr>
                <w:i/>
                <w:iCs/>
                <w:sz w:val="18"/>
                <w:szCs w:val="18"/>
              </w:rPr>
            </w:pPr>
            <w:r w:rsidRPr="001B0E86">
              <w:rPr>
                <w:i/>
                <w:iCs/>
                <w:sz w:val="18"/>
                <w:szCs w:val="18"/>
              </w:rPr>
              <w:t>111.89</w:t>
            </w:r>
          </w:p>
        </w:tc>
        <w:tc>
          <w:tcPr>
            <w:tcW w:w="7421" w:type="dxa"/>
          </w:tcPr>
          <w:p w14:paraId="3D882810" w14:textId="77777777" w:rsidR="001B0E86" w:rsidRPr="001B0E86" w:rsidRDefault="001B0E86" w:rsidP="001B0E86">
            <w:pPr>
              <w:jc w:val="both"/>
              <w:rPr>
                <w:i/>
                <w:iCs/>
                <w:sz w:val="18"/>
                <w:szCs w:val="18"/>
              </w:rPr>
            </w:pPr>
            <w:r w:rsidRPr="001B0E86">
              <w:rPr>
                <w:i/>
                <w:iCs/>
                <w:sz w:val="18"/>
                <w:szCs w:val="18"/>
              </w:rPr>
              <w:t>Fortalecer las políticas y los programas para combatir la desnutrición crónica y garantizar la seguridad alimentaria.</w:t>
            </w:r>
          </w:p>
        </w:tc>
      </w:tr>
      <w:tr w:rsidR="001B0E86" w:rsidRPr="001B0E86" w14:paraId="3FE47558" w14:textId="77777777" w:rsidTr="007F2492">
        <w:tc>
          <w:tcPr>
            <w:tcW w:w="1651" w:type="dxa"/>
          </w:tcPr>
          <w:p w14:paraId="5D90A4D5" w14:textId="77777777" w:rsidR="001B0E86" w:rsidRPr="001B0E86" w:rsidRDefault="001B0E86" w:rsidP="001B0E86">
            <w:pPr>
              <w:rPr>
                <w:i/>
                <w:iCs/>
                <w:sz w:val="18"/>
                <w:szCs w:val="18"/>
              </w:rPr>
            </w:pPr>
            <w:r w:rsidRPr="001B0E86">
              <w:rPr>
                <w:i/>
                <w:iCs/>
                <w:sz w:val="18"/>
                <w:szCs w:val="18"/>
              </w:rPr>
              <w:t>111.90</w:t>
            </w:r>
          </w:p>
        </w:tc>
        <w:tc>
          <w:tcPr>
            <w:tcW w:w="7421" w:type="dxa"/>
          </w:tcPr>
          <w:p w14:paraId="11107851" w14:textId="77777777" w:rsidR="001B0E86" w:rsidRPr="001B0E86" w:rsidRDefault="001B0E86" w:rsidP="001B0E86">
            <w:pPr>
              <w:jc w:val="both"/>
              <w:rPr>
                <w:i/>
                <w:iCs/>
                <w:sz w:val="18"/>
                <w:szCs w:val="18"/>
              </w:rPr>
            </w:pPr>
            <w:r w:rsidRPr="001B0E86">
              <w:rPr>
                <w:i/>
                <w:iCs/>
                <w:sz w:val="18"/>
                <w:szCs w:val="18"/>
              </w:rPr>
              <w:t>Adoptar las medidas específicas para promover el acceso a los servicios de salud en especial en las zonas rurales.</w:t>
            </w:r>
          </w:p>
        </w:tc>
      </w:tr>
      <w:tr w:rsidR="001B0E86" w:rsidRPr="001B0E86" w14:paraId="644FCF8C" w14:textId="77777777" w:rsidTr="007F2492">
        <w:tc>
          <w:tcPr>
            <w:tcW w:w="1651" w:type="dxa"/>
          </w:tcPr>
          <w:p w14:paraId="3A769A78" w14:textId="77777777" w:rsidR="001B0E86" w:rsidRPr="001B0E86" w:rsidRDefault="001B0E86" w:rsidP="001B0E86">
            <w:pPr>
              <w:rPr>
                <w:i/>
                <w:iCs/>
                <w:sz w:val="18"/>
                <w:szCs w:val="18"/>
              </w:rPr>
            </w:pPr>
            <w:r w:rsidRPr="001B0E86">
              <w:rPr>
                <w:i/>
                <w:iCs/>
                <w:sz w:val="18"/>
                <w:szCs w:val="18"/>
              </w:rPr>
              <w:t>111.91</w:t>
            </w:r>
          </w:p>
        </w:tc>
        <w:tc>
          <w:tcPr>
            <w:tcW w:w="7421" w:type="dxa"/>
          </w:tcPr>
          <w:p w14:paraId="7310BDD7" w14:textId="77777777" w:rsidR="001B0E86" w:rsidRPr="001B0E86" w:rsidRDefault="001B0E86" w:rsidP="001B0E86">
            <w:pPr>
              <w:jc w:val="both"/>
              <w:rPr>
                <w:i/>
                <w:iCs/>
                <w:sz w:val="18"/>
                <w:szCs w:val="18"/>
              </w:rPr>
            </w:pPr>
            <w:r w:rsidRPr="001B0E86">
              <w:rPr>
                <w:i/>
                <w:iCs/>
                <w:sz w:val="18"/>
                <w:szCs w:val="18"/>
              </w:rPr>
              <w:t>Aumentar la asignación de recurso y la accesibilidad a los servicios de salud Pública.</w:t>
            </w:r>
          </w:p>
        </w:tc>
      </w:tr>
      <w:tr w:rsidR="001B0E86" w:rsidRPr="001B0E86" w14:paraId="6AC5EDDE" w14:textId="77777777" w:rsidTr="007F2492">
        <w:tc>
          <w:tcPr>
            <w:tcW w:w="1651" w:type="dxa"/>
          </w:tcPr>
          <w:p w14:paraId="64DA242B" w14:textId="77777777" w:rsidR="001B0E86" w:rsidRPr="001B0E86" w:rsidRDefault="001B0E86" w:rsidP="001B0E86">
            <w:pPr>
              <w:rPr>
                <w:i/>
                <w:iCs/>
                <w:sz w:val="18"/>
                <w:szCs w:val="18"/>
              </w:rPr>
            </w:pPr>
            <w:r w:rsidRPr="001B0E86">
              <w:rPr>
                <w:i/>
                <w:iCs/>
                <w:sz w:val="18"/>
                <w:szCs w:val="18"/>
              </w:rPr>
              <w:t>111.92</w:t>
            </w:r>
          </w:p>
        </w:tc>
        <w:tc>
          <w:tcPr>
            <w:tcW w:w="7421" w:type="dxa"/>
          </w:tcPr>
          <w:p w14:paraId="1FAA7E8F" w14:textId="77777777" w:rsidR="001B0E86" w:rsidRPr="001B0E86" w:rsidRDefault="001B0E86" w:rsidP="001B0E86">
            <w:pPr>
              <w:jc w:val="both"/>
              <w:rPr>
                <w:i/>
                <w:iCs/>
                <w:sz w:val="18"/>
                <w:szCs w:val="18"/>
              </w:rPr>
            </w:pPr>
            <w:r w:rsidRPr="001B0E86">
              <w:rPr>
                <w:i/>
                <w:iCs/>
                <w:sz w:val="18"/>
                <w:szCs w:val="18"/>
              </w:rPr>
              <w:t>Aumentar el presupuesto a la atención sanitaria y adoptar todas las medidas necesarias para fortalecer el sistema nacional de atención de la salud accesible para todos, sin discriminación</w:t>
            </w:r>
          </w:p>
        </w:tc>
      </w:tr>
    </w:tbl>
    <w:p w14:paraId="40CD245E" w14:textId="510FFFFC" w:rsidR="001B0E86" w:rsidRDefault="001B0E86">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83D"/>
    <w:multiLevelType w:val="hybridMultilevel"/>
    <w:tmpl w:val="0DE8C0C0"/>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079B775E"/>
    <w:multiLevelType w:val="hybridMultilevel"/>
    <w:tmpl w:val="24AC399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6991101"/>
    <w:multiLevelType w:val="hybridMultilevel"/>
    <w:tmpl w:val="B42C999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B6E0D76"/>
    <w:multiLevelType w:val="hybridMultilevel"/>
    <w:tmpl w:val="5A583A6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E2D49AD"/>
    <w:multiLevelType w:val="hybridMultilevel"/>
    <w:tmpl w:val="7834D41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20377AB"/>
    <w:multiLevelType w:val="hybridMultilevel"/>
    <w:tmpl w:val="5BF4240C"/>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D2061A1"/>
    <w:multiLevelType w:val="hybridMultilevel"/>
    <w:tmpl w:val="3920E7E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49045BBF"/>
    <w:multiLevelType w:val="hybridMultilevel"/>
    <w:tmpl w:val="03DA27F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26B1C44"/>
    <w:multiLevelType w:val="hybridMultilevel"/>
    <w:tmpl w:val="467098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7C210D1"/>
    <w:multiLevelType w:val="hybridMultilevel"/>
    <w:tmpl w:val="C11A9FD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585191311">
    <w:abstractNumId w:val="4"/>
  </w:num>
  <w:num w:numId="2" w16cid:durableId="1510218197">
    <w:abstractNumId w:val="5"/>
  </w:num>
  <w:num w:numId="3" w16cid:durableId="731781516">
    <w:abstractNumId w:val="1"/>
  </w:num>
  <w:num w:numId="4" w16cid:durableId="1015495728">
    <w:abstractNumId w:val="2"/>
  </w:num>
  <w:num w:numId="5" w16cid:durableId="780875685">
    <w:abstractNumId w:val="7"/>
  </w:num>
  <w:num w:numId="6" w16cid:durableId="1674186214">
    <w:abstractNumId w:val="8"/>
  </w:num>
  <w:num w:numId="7" w16cid:durableId="1529904240">
    <w:abstractNumId w:val="9"/>
  </w:num>
  <w:num w:numId="8" w16cid:durableId="15470146">
    <w:abstractNumId w:val="3"/>
  </w:num>
  <w:num w:numId="9" w16cid:durableId="994068821">
    <w:abstractNumId w:val="0"/>
  </w:num>
  <w:num w:numId="10" w16cid:durableId="1603108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B4"/>
    <w:rsid w:val="00016525"/>
    <w:rsid w:val="00051763"/>
    <w:rsid w:val="00053EC5"/>
    <w:rsid w:val="00061169"/>
    <w:rsid w:val="00066BE7"/>
    <w:rsid w:val="0008533E"/>
    <w:rsid w:val="000A02C4"/>
    <w:rsid w:val="000C7028"/>
    <w:rsid w:val="00100AAF"/>
    <w:rsid w:val="00125CBF"/>
    <w:rsid w:val="001340F6"/>
    <w:rsid w:val="0019705D"/>
    <w:rsid w:val="001B0E86"/>
    <w:rsid w:val="002039E8"/>
    <w:rsid w:val="00235D63"/>
    <w:rsid w:val="00245F8A"/>
    <w:rsid w:val="00282B2A"/>
    <w:rsid w:val="002C5219"/>
    <w:rsid w:val="00324A49"/>
    <w:rsid w:val="00390F45"/>
    <w:rsid w:val="003C018C"/>
    <w:rsid w:val="003C049F"/>
    <w:rsid w:val="00414F0D"/>
    <w:rsid w:val="00422237"/>
    <w:rsid w:val="004501A6"/>
    <w:rsid w:val="0045751A"/>
    <w:rsid w:val="0047510D"/>
    <w:rsid w:val="00492EF0"/>
    <w:rsid w:val="004A6998"/>
    <w:rsid w:val="004B22CF"/>
    <w:rsid w:val="004D4036"/>
    <w:rsid w:val="004E3384"/>
    <w:rsid w:val="004F45E1"/>
    <w:rsid w:val="0051584E"/>
    <w:rsid w:val="005244E6"/>
    <w:rsid w:val="00561358"/>
    <w:rsid w:val="00577AEB"/>
    <w:rsid w:val="005878A9"/>
    <w:rsid w:val="006307FF"/>
    <w:rsid w:val="006372D2"/>
    <w:rsid w:val="00652071"/>
    <w:rsid w:val="00653EB4"/>
    <w:rsid w:val="00670965"/>
    <w:rsid w:val="00673550"/>
    <w:rsid w:val="0067459B"/>
    <w:rsid w:val="006A6FC1"/>
    <w:rsid w:val="006B3C33"/>
    <w:rsid w:val="006D6F65"/>
    <w:rsid w:val="006D702F"/>
    <w:rsid w:val="006F1B98"/>
    <w:rsid w:val="006F1FA1"/>
    <w:rsid w:val="0072026F"/>
    <w:rsid w:val="00724E17"/>
    <w:rsid w:val="00737E9A"/>
    <w:rsid w:val="007604FF"/>
    <w:rsid w:val="00761BCF"/>
    <w:rsid w:val="007738D9"/>
    <w:rsid w:val="00774192"/>
    <w:rsid w:val="00790AA6"/>
    <w:rsid w:val="007C5394"/>
    <w:rsid w:val="007D7E22"/>
    <w:rsid w:val="00823C73"/>
    <w:rsid w:val="008554DD"/>
    <w:rsid w:val="00867E24"/>
    <w:rsid w:val="00882539"/>
    <w:rsid w:val="0089226B"/>
    <w:rsid w:val="00893EB5"/>
    <w:rsid w:val="00895CCC"/>
    <w:rsid w:val="008C61B7"/>
    <w:rsid w:val="008D2F20"/>
    <w:rsid w:val="00924EAB"/>
    <w:rsid w:val="00927FE5"/>
    <w:rsid w:val="00964AC5"/>
    <w:rsid w:val="0097003A"/>
    <w:rsid w:val="009F2195"/>
    <w:rsid w:val="00A87931"/>
    <w:rsid w:val="00AA2EEC"/>
    <w:rsid w:val="00AC6D73"/>
    <w:rsid w:val="00B448CC"/>
    <w:rsid w:val="00B91F42"/>
    <w:rsid w:val="00B92C4E"/>
    <w:rsid w:val="00BD0786"/>
    <w:rsid w:val="00BD13A9"/>
    <w:rsid w:val="00C13D50"/>
    <w:rsid w:val="00C606BE"/>
    <w:rsid w:val="00C85308"/>
    <w:rsid w:val="00CA695B"/>
    <w:rsid w:val="00CB006B"/>
    <w:rsid w:val="00CD3016"/>
    <w:rsid w:val="00CF51D0"/>
    <w:rsid w:val="00D07DBE"/>
    <w:rsid w:val="00D41D11"/>
    <w:rsid w:val="00D62D87"/>
    <w:rsid w:val="00DB541F"/>
    <w:rsid w:val="00DB6017"/>
    <w:rsid w:val="00DE5E75"/>
    <w:rsid w:val="00E11D2C"/>
    <w:rsid w:val="00E867A8"/>
    <w:rsid w:val="00E902A8"/>
    <w:rsid w:val="00E92DE1"/>
    <w:rsid w:val="00EA7B92"/>
    <w:rsid w:val="00ED6C74"/>
    <w:rsid w:val="00F52321"/>
    <w:rsid w:val="00F554D3"/>
    <w:rsid w:val="00F822AF"/>
    <w:rsid w:val="00F93FB4"/>
    <w:rsid w:val="00FA5490"/>
    <w:rsid w:val="00FC654E"/>
    <w:rsid w:val="00FF361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1A5C"/>
  <w15:chartTrackingRefBased/>
  <w15:docId w15:val="{7A4339F7-4FEE-4210-A8A3-A55EC17E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93FB4"/>
    <w:pPr>
      <w:spacing w:after="0" w:line="240" w:lineRule="auto"/>
      <w:ind w:left="720"/>
      <w:contextualSpacing/>
    </w:pPr>
    <w:rPr>
      <w:sz w:val="24"/>
      <w:szCs w:val="24"/>
    </w:rPr>
  </w:style>
  <w:style w:type="table" w:styleId="Tablaconcuadrcula">
    <w:name w:val="Table Grid"/>
    <w:basedOn w:val="Tablanormal"/>
    <w:uiPriority w:val="39"/>
    <w:rsid w:val="00F93FB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93FB4"/>
    <w:rPr>
      <w:sz w:val="24"/>
      <w:szCs w:val="24"/>
    </w:rPr>
  </w:style>
  <w:style w:type="paragraph" w:styleId="Encabezado">
    <w:name w:val="header"/>
    <w:basedOn w:val="Normal"/>
    <w:link w:val="EncabezadoCar"/>
    <w:uiPriority w:val="99"/>
    <w:unhideWhenUsed/>
    <w:rsid w:val="00637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2D2"/>
  </w:style>
  <w:style w:type="paragraph" w:styleId="Piedepgina">
    <w:name w:val="footer"/>
    <w:basedOn w:val="Normal"/>
    <w:link w:val="PiedepginaCar"/>
    <w:uiPriority w:val="99"/>
    <w:unhideWhenUsed/>
    <w:rsid w:val="00637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2D2"/>
  </w:style>
  <w:style w:type="paragraph" w:styleId="Textonotapie">
    <w:name w:val="footnote text"/>
    <w:basedOn w:val="Normal"/>
    <w:link w:val="TextonotapieCar"/>
    <w:uiPriority w:val="99"/>
    <w:semiHidden/>
    <w:unhideWhenUsed/>
    <w:rsid w:val="001B0E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B0E86"/>
    <w:rPr>
      <w:sz w:val="20"/>
      <w:szCs w:val="20"/>
    </w:rPr>
  </w:style>
  <w:style w:type="character" w:styleId="Refdenotaalpie">
    <w:name w:val="footnote reference"/>
    <w:basedOn w:val="Fuentedeprrafopredeter"/>
    <w:uiPriority w:val="99"/>
    <w:semiHidden/>
    <w:unhideWhenUsed/>
    <w:rsid w:val="001B0E86"/>
    <w:rPr>
      <w:vertAlign w:val="superscript"/>
    </w:rPr>
  </w:style>
  <w:style w:type="paragraph" w:styleId="Textonotaalfinal">
    <w:name w:val="endnote text"/>
    <w:basedOn w:val="Normal"/>
    <w:link w:val="TextonotaalfinalCar"/>
    <w:uiPriority w:val="99"/>
    <w:semiHidden/>
    <w:unhideWhenUsed/>
    <w:rsid w:val="00577AE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AEB"/>
    <w:rPr>
      <w:sz w:val="20"/>
      <w:szCs w:val="20"/>
    </w:rPr>
  </w:style>
  <w:style w:type="character" w:styleId="Refdenotaalfinal">
    <w:name w:val="endnote reference"/>
    <w:basedOn w:val="Fuentedeprrafopredeter"/>
    <w:uiPriority w:val="99"/>
    <w:semiHidden/>
    <w:unhideWhenUsed/>
    <w:rsid w:val="00577A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85848-CE56-4BFE-990B-BD184D0E0EDE}"/>
</file>

<file path=customXml/itemProps2.xml><?xml version="1.0" encoding="utf-8"?>
<ds:datastoreItem xmlns:ds="http://schemas.openxmlformats.org/officeDocument/2006/customXml" ds:itemID="{9A245CE9-B5A7-4D4A-88FE-5926CE4D3F63}"/>
</file>

<file path=customXml/itemProps3.xml><?xml version="1.0" encoding="utf-8"?>
<ds:datastoreItem xmlns:ds="http://schemas.openxmlformats.org/officeDocument/2006/customXml" ds:itemID="{AA4BE53E-0276-4791-9FEF-BC7346C09D09}"/>
</file>

<file path=customXml/itemProps4.xml><?xml version="1.0" encoding="utf-8"?>
<ds:datastoreItem xmlns:ds="http://schemas.openxmlformats.org/officeDocument/2006/customXml" ds:itemID="{99450CCA-F8E1-4E49-908E-84CAB5CDCC12}"/>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Eduardo Montufar Velarde</dc:creator>
  <cp:keywords/>
  <dc:description/>
  <cp:lastModifiedBy>Mision Permanente ante la Onu Ginebra Suiza</cp:lastModifiedBy>
  <cp:revision>2</cp:revision>
  <dcterms:created xsi:type="dcterms:W3CDTF">2023-01-24T16:00:00Z</dcterms:created>
  <dcterms:modified xsi:type="dcterms:W3CDTF">2023-01-24T16:00:00Z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