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294580DC" w:rsidR="00EA63C6" w:rsidRPr="00412901" w:rsidRDefault="002B5726" w:rsidP="00412901">
      <w:pPr>
        <w:jc w:val="center"/>
        <w:rPr>
          <w:rFonts w:cs="Arial"/>
          <w:b/>
          <w:bCs/>
          <w:sz w:val="28"/>
          <w:szCs w:val="28"/>
        </w:rPr>
      </w:pPr>
      <w:r>
        <w:rPr>
          <w:b/>
          <w:bCs/>
          <w:sz w:val="28"/>
          <w:szCs w:val="28"/>
        </w:rPr>
        <w:t>41</w:t>
      </w:r>
      <w:r w:rsidRPr="002B5726">
        <w:rPr>
          <w:b/>
          <w:bCs/>
          <w:sz w:val="28"/>
          <w:szCs w:val="28"/>
          <w:vertAlign w:val="superscript"/>
        </w:rPr>
        <w:t>st</w:t>
      </w:r>
      <w:r>
        <w:rPr>
          <w:b/>
          <w:bCs/>
          <w:sz w:val="28"/>
          <w:szCs w:val="28"/>
        </w:rPr>
        <w:t xml:space="preserve"> </w:t>
      </w:r>
      <w:r w:rsidR="00412901" w:rsidRPr="00412901">
        <w:rPr>
          <w:b/>
          <w:bCs/>
          <w:sz w:val="28"/>
          <w:szCs w:val="28"/>
        </w:rPr>
        <w:t>Session of the Working Group on the Universal Periodic Review</w:t>
      </w:r>
    </w:p>
    <w:p w14:paraId="4EE79415" w14:textId="37B3CA2E" w:rsidR="00CD112E" w:rsidRDefault="00F209A9" w:rsidP="00EA63C6">
      <w:pPr>
        <w:jc w:val="center"/>
        <w:rPr>
          <w:rFonts w:cs="Arial"/>
          <w:bCs/>
          <w:sz w:val="28"/>
          <w:szCs w:val="28"/>
          <w:lang w:val="en-US"/>
        </w:rPr>
      </w:pPr>
      <w:r>
        <w:rPr>
          <w:rFonts w:cs="Arial"/>
          <w:bCs/>
          <w:sz w:val="28"/>
          <w:szCs w:val="28"/>
          <w:lang w:val="en-US"/>
        </w:rPr>
        <w:t>1</w:t>
      </w:r>
      <w:r w:rsidR="00D040E6">
        <w:rPr>
          <w:rFonts w:cs="Arial"/>
          <w:bCs/>
          <w:sz w:val="28"/>
          <w:szCs w:val="28"/>
          <w:lang w:val="en-US"/>
        </w:rPr>
        <w:t>5</w:t>
      </w:r>
      <w:r w:rsidR="00CD112E">
        <w:rPr>
          <w:rFonts w:cs="Arial"/>
          <w:bCs/>
          <w:sz w:val="28"/>
          <w:szCs w:val="28"/>
          <w:lang w:val="en-US"/>
        </w:rPr>
        <w:t xml:space="preserve"> November</w:t>
      </w:r>
      <w:r w:rsidR="00CD112E"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5185AF4B"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D040E6">
        <w:rPr>
          <w:rFonts w:cs="Arial"/>
          <w:b/>
          <w:sz w:val="28"/>
          <w:szCs w:val="28"/>
          <w:lang w:val="en-US"/>
        </w:rPr>
        <w:t>POLAND</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1CF51ED1" w14:textId="77777777" w:rsidR="00D040E6" w:rsidRPr="00D040E6" w:rsidRDefault="00D040E6" w:rsidP="0077475F">
      <w:pPr>
        <w:ind w:firstLine="720"/>
        <w:contextualSpacing/>
        <w:jc w:val="both"/>
        <w:rPr>
          <w:rFonts w:eastAsia="Times New Roman" w:cs="Arial"/>
          <w:sz w:val="28"/>
          <w:szCs w:val="28"/>
        </w:rPr>
      </w:pPr>
      <w:r w:rsidRPr="00D040E6">
        <w:rPr>
          <w:rFonts w:eastAsia="Times New Roman" w:cs="Arial"/>
          <w:sz w:val="28"/>
          <w:szCs w:val="28"/>
        </w:rPr>
        <w:t>Thank you, Mr. President.</w:t>
      </w:r>
    </w:p>
    <w:p w14:paraId="02ABE7CF" w14:textId="77777777" w:rsidR="00D040E6" w:rsidRPr="00D040E6" w:rsidRDefault="00D040E6" w:rsidP="0077475F">
      <w:pPr>
        <w:ind w:firstLine="720"/>
        <w:contextualSpacing/>
        <w:jc w:val="both"/>
        <w:rPr>
          <w:rFonts w:eastAsia="Times New Roman" w:cs="Arial"/>
          <w:sz w:val="28"/>
          <w:szCs w:val="28"/>
        </w:rPr>
      </w:pPr>
    </w:p>
    <w:p w14:paraId="17E8A64D" w14:textId="77777777" w:rsidR="00D040E6" w:rsidRPr="00D040E6" w:rsidRDefault="00D040E6" w:rsidP="0077475F">
      <w:pPr>
        <w:ind w:firstLine="720"/>
        <w:contextualSpacing/>
        <w:jc w:val="both"/>
        <w:rPr>
          <w:rFonts w:eastAsia="Times New Roman" w:cs="Arial"/>
          <w:sz w:val="28"/>
          <w:szCs w:val="28"/>
        </w:rPr>
      </w:pPr>
      <w:r w:rsidRPr="00D040E6">
        <w:rPr>
          <w:rFonts w:eastAsia="Times New Roman" w:cs="Arial"/>
          <w:sz w:val="28"/>
          <w:szCs w:val="28"/>
        </w:rPr>
        <w:t>The Philippines warmly welcomes the delegation of Poland and thanks it for its national report.</w:t>
      </w:r>
    </w:p>
    <w:p w14:paraId="534090FF" w14:textId="77777777" w:rsidR="00D040E6" w:rsidRPr="00D040E6" w:rsidRDefault="00D040E6" w:rsidP="0077475F">
      <w:pPr>
        <w:ind w:firstLine="720"/>
        <w:contextualSpacing/>
        <w:jc w:val="both"/>
        <w:rPr>
          <w:rFonts w:eastAsia="Times New Roman" w:cs="Arial"/>
          <w:sz w:val="28"/>
          <w:szCs w:val="28"/>
        </w:rPr>
      </w:pPr>
    </w:p>
    <w:p w14:paraId="6F0759E1" w14:textId="451D09FA" w:rsidR="00D040E6" w:rsidRPr="00D040E6" w:rsidRDefault="00D040E6" w:rsidP="0077475F">
      <w:pPr>
        <w:ind w:firstLine="720"/>
        <w:contextualSpacing/>
        <w:jc w:val="both"/>
        <w:rPr>
          <w:rFonts w:eastAsia="Times New Roman" w:cs="Arial"/>
          <w:sz w:val="28"/>
          <w:szCs w:val="28"/>
        </w:rPr>
      </w:pPr>
      <w:r w:rsidRPr="00D040E6">
        <w:rPr>
          <w:rFonts w:eastAsia="Times New Roman" w:cs="Arial"/>
          <w:sz w:val="28"/>
          <w:szCs w:val="28"/>
        </w:rPr>
        <w:t xml:space="preserve">The Philippines </w:t>
      </w:r>
      <w:r w:rsidR="0077475F">
        <w:rPr>
          <w:rFonts w:eastAsia="Times New Roman" w:cs="Arial"/>
          <w:sz w:val="28"/>
          <w:szCs w:val="28"/>
        </w:rPr>
        <w:t>welco</w:t>
      </w:r>
      <w:r w:rsidR="00A459E1">
        <w:rPr>
          <w:rFonts w:eastAsia="Times New Roman" w:cs="Arial"/>
          <w:sz w:val="28"/>
          <w:szCs w:val="28"/>
        </w:rPr>
        <w:t>me</w:t>
      </w:r>
      <w:r w:rsidR="00DE06B1">
        <w:rPr>
          <w:rFonts w:eastAsia="Times New Roman" w:cs="Arial"/>
          <w:sz w:val="28"/>
          <w:szCs w:val="28"/>
        </w:rPr>
        <w:t>s</w:t>
      </w:r>
      <w:r w:rsidR="00A459E1">
        <w:rPr>
          <w:rFonts w:eastAsia="Times New Roman" w:cs="Arial"/>
          <w:sz w:val="28"/>
          <w:szCs w:val="28"/>
        </w:rPr>
        <w:t xml:space="preserve"> </w:t>
      </w:r>
      <w:r w:rsidRPr="00D040E6">
        <w:rPr>
          <w:rFonts w:eastAsia="Times New Roman" w:cs="Arial"/>
          <w:sz w:val="28"/>
          <w:szCs w:val="28"/>
        </w:rPr>
        <w:t xml:space="preserve">the Council of Ministers’ Resolution No. 183 on the National Action Against Family Violence 2022, which underlines Poland’s commitment to </w:t>
      </w:r>
      <w:r w:rsidR="00DE06B1">
        <w:rPr>
          <w:rFonts w:eastAsia="Times New Roman" w:cs="Arial"/>
          <w:sz w:val="28"/>
          <w:szCs w:val="28"/>
        </w:rPr>
        <w:t xml:space="preserve">implement relevant </w:t>
      </w:r>
      <w:r w:rsidRPr="00D040E6">
        <w:rPr>
          <w:rFonts w:eastAsia="Times New Roman" w:cs="Arial"/>
          <w:sz w:val="28"/>
          <w:szCs w:val="28"/>
        </w:rPr>
        <w:t>binding international instruments, as well as other measures to combat domestic violence.</w:t>
      </w:r>
    </w:p>
    <w:p w14:paraId="08100560" w14:textId="77777777" w:rsidR="00D040E6" w:rsidRPr="00D040E6" w:rsidRDefault="00D040E6" w:rsidP="0077475F">
      <w:pPr>
        <w:ind w:firstLine="720"/>
        <w:contextualSpacing/>
        <w:jc w:val="both"/>
        <w:rPr>
          <w:rFonts w:eastAsia="Times New Roman" w:cs="Arial"/>
          <w:sz w:val="28"/>
          <w:szCs w:val="28"/>
        </w:rPr>
      </w:pPr>
    </w:p>
    <w:p w14:paraId="0EADF39D" w14:textId="2AC1AA54" w:rsidR="00D040E6" w:rsidRPr="00D040E6" w:rsidRDefault="00D040E6" w:rsidP="00A459E1">
      <w:pPr>
        <w:ind w:firstLine="720"/>
        <w:jc w:val="both"/>
        <w:rPr>
          <w:rFonts w:eastAsia="Times New Roman" w:cs="Arial"/>
          <w:sz w:val="28"/>
          <w:szCs w:val="28"/>
        </w:rPr>
      </w:pPr>
      <w:r w:rsidRPr="00D040E6">
        <w:rPr>
          <w:rFonts w:eastAsia="Times New Roman" w:cs="Arial"/>
          <w:sz w:val="28"/>
          <w:szCs w:val="28"/>
        </w:rPr>
        <w:t xml:space="preserve">We </w:t>
      </w:r>
      <w:r w:rsidR="0077475F">
        <w:rPr>
          <w:rFonts w:eastAsia="Times New Roman" w:cs="Arial"/>
          <w:sz w:val="28"/>
          <w:szCs w:val="28"/>
        </w:rPr>
        <w:t xml:space="preserve">likewise positively note </w:t>
      </w:r>
      <w:r w:rsidR="00A459E1">
        <w:rPr>
          <w:rFonts w:eastAsia="Times New Roman" w:cs="Arial"/>
          <w:sz w:val="28"/>
          <w:szCs w:val="28"/>
        </w:rPr>
        <w:t xml:space="preserve">the </w:t>
      </w:r>
      <w:r w:rsidRPr="00D040E6">
        <w:rPr>
          <w:rFonts w:eastAsia="Times New Roman" w:cs="Arial"/>
          <w:sz w:val="28"/>
          <w:szCs w:val="28"/>
        </w:rPr>
        <w:t xml:space="preserve">sustained </w:t>
      </w:r>
      <w:r w:rsidR="00A459E1">
        <w:rPr>
          <w:rFonts w:eastAsia="Times New Roman" w:cs="Arial"/>
          <w:sz w:val="28"/>
          <w:szCs w:val="28"/>
        </w:rPr>
        <w:t xml:space="preserve">increase of budgetary allocation for </w:t>
      </w:r>
      <w:r w:rsidRPr="00D040E6">
        <w:rPr>
          <w:rFonts w:eastAsia="Times New Roman" w:cs="Arial"/>
          <w:sz w:val="28"/>
          <w:szCs w:val="28"/>
        </w:rPr>
        <w:t xml:space="preserve">the Commissioner of Human Rights </w:t>
      </w:r>
      <w:r w:rsidR="00A459E1">
        <w:rPr>
          <w:rFonts w:eastAsia="Times New Roman" w:cs="Arial"/>
          <w:sz w:val="28"/>
          <w:szCs w:val="28"/>
        </w:rPr>
        <w:t xml:space="preserve">and advances in ensuring </w:t>
      </w:r>
      <w:r w:rsidRPr="00D040E6">
        <w:rPr>
          <w:rFonts w:eastAsia="Times New Roman" w:cs="Arial"/>
          <w:sz w:val="28"/>
          <w:szCs w:val="28"/>
        </w:rPr>
        <w:t xml:space="preserve">social welfare support to women, children, and persons with disabilities. </w:t>
      </w:r>
    </w:p>
    <w:p w14:paraId="42677E97" w14:textId="77777777" w:rsidR="00D040E6" w:rsidRPr="00D040E6" w:rsidRDefault="00D040E6" w:rsidP="0077475F">
      <w:pPr>
        <w:jc w:val="both"/>
        <w:rPr>
          <w:rFonts w:eastAsia="Times New Roman" w:cs="Arial"/>
          <w:sz w:val="28"/>
          <w:szCs w:val="28"/>
        </w:rPr>
      </w:pPr>
    </w:p>
    <w:p w14:paraId="1770354F" w14:textId="4D063263" w:rsidR="00D040E6" w:rsidRDefault="00D040E6" w:rsidP="0077475F">
      <w:pPr>
        <w:ind w:left="720"/>
        <w:contextualSpacing/>
        <w:jc w:val="both"/>
        <w:rPr>
          <w:rFonts w:eastAsia="Times New Roman" w:cs="Arial"/>
          <w:sz w:val="28"/>
          <w:szCs w:val="28"/>
        </w:rPr>
      </w:pPr>
      <w:r w:rsidRPr="00D040E6">
        <w:rPr>
          <w:rFonts w:eastAsia="Times New Roman" w:cs="Arial"/>
          <w:sz w:val="28"/>
          <w:szCs w:val="28"/>
        </w:rPr>
        <w:t>The Philippines, in a constructive spirit, offers the following recommendations:</w:t>
      </w:r>
    </w:p>
    <w:p w14:paraId="01C7E93E" w14:textId="77777777" w:rsidR="001515FF" w:rsidRPr="00D040E6" w:rsidRDefault="001515FF" w:rsidP="0077475F">
      <w:pPr>
        <w:ind w:left="720"/>
        <w:contextualSpacing/>
        <w:jc w:val="both"/>
        <w:rPr>
          <w:rFonts w:eastAsia="Times New Roman" w:cs="Arial"/>
          <w:sz w:val="28"/>
          <w:szCs w:val="28"/>
        </w:rPr>
      </w:pPr>
    </w:p>
    <w:p w14:paraId="46B9D1FE" w14:textId="77777777" w:rsidR="00D040E6" w:rsidRPr="00D040E6" w:rsidRDefault="00D040E6" w:rsidP="0077475F">
      <w:pPr>
        <w:numPr>
          <w:ilvl w:val="0"/>
          <w:numId w:val="7"/>
        </w:numPr>
        <w:spacing w:before="100" w:beforeAutospacing="1"/>
        <w:contextualSpacing/>
        <w:jc w:val="both"/>
        <w:rPr>
          <w:rFonts w:eastAsiaTheme="minorEastAsia" w:cs="Arial"/>
          <w:color w:val="191919"/>
          <w:sz w:val="28"/>
          <w:szCs w:val="28"/>
          <w:lang w:val="en-US"/>
        </w:rPr>
      </w:pPr>
      <w:r w:rsidRPr="00D040E6">
        <w:rPr>
          <w:rFonts w:eastAsiaTheme="minorEastAsia" w:cs="Arial"/>
          <w:color w:val="191919"/>
          <w:sz w:val="28"/>
          <w:szCs w:val="28"/>
          <w:lang w:val="en-US"/>
        </w:rPr>
        <w:t>Step up efforts to combat intolerance, violence and discrimination against migrants, ethnic and sexual minorities;</w:t>
      </w:r>
    </w:p>
    <w:p w14:paraId="61B9E340" w14:textId="77777777" w:rsidR="00D040E6" w:rsidRPr="00D040E6" w:rsidRDefault="00D040E6" w:rsidP="0077475F">
      <w:pPr>
        <w:spacing w:before="100" w:beforeAutospacing="1"/>
        <w:ind w:left="850"/>
        <w:contextualSpacing/>
        <w:jc w:val="both"/>
        <w:rPr>
          <w:rFonts w:eastAsiaTheme="minorEastAsia" w:cs="Arial"/>
          <w:color w:val="191919"/>
          <w:sz w:val="28"/>
          <w:szCs w:val="28"/>
          <w:lang w:val="en-US"/>
        </w:rPr>
      </w:pPr>
    </w:p>
    <w:p w14:paraId="334FF042" w14:textId="77777777" w:rsidR="00D040E6" w:rsidRPr="00D040E6" w:rsidRDefault="00D040E6" w:rsidP="0077475F">
      <w:pPr>
        <w:numPr>
          <w:ilvl w:val="0"/>
          <w:numId w:val="7"/>
        </w:numPr>
        <w:shd w:val="clear" w:color="auto" w:fill="FFFFFF" w:themeFill="background1"/>
        <w:spacing w:before="100" w:beforeAutospacing="1"/>
        <w:contextualSpacing/>
        <w:jc w:val="both"/>
        <w:rPr>
          <w:rFonts w:eastAsiaTheme="minorEastAsia" w:cs="Arial"/>
          <w:sz w:val="28"/>
          <w:szCs w:val="28"/>
          <w:lang w:val="en-US"/>
        </w:rPr>
      </w:pPr>
      <w:r w:rsidRPr="00D040E6">
        <w:rPr>
          <w:rFonts w:eastAsiaTheme="minorEastAsia" w:cs="Arial"/>
          <w:sz w:val="28"/>
          <w:szCs w:val="28"/>
          <w:lang w:val="en-US"/>
        </w:rPr>
        <w:t xml:space="preserve">Continue to consider acceding to the </w:t>
      </w:r>
      <w:r w:rsidRPr="00D040E6">
        <w:rPr>
          <w:rFonts w:eastAsiaTheme="minorEastAsia" w:cs="Arial"/>
          <w:sz w:val="28"/>
          <w:szCs w:val="28"/>
          <w:shd w:val="clear" w:color="auto" w:fill="FFFFFF" w:themeFill="background1"/>
          <w:lang w:val="en-US"/>
        </w:rPr>
        <w:t>International Convention on the Protection of the Rights of All Migrant Workers and Members of their Families.</w:t>
      </w:r>
    </w:p>
    <w:p w14:paraId="1CC0DDEF" w14:textId="77777777" w:rsidR="00D040E6" w:rsidRPr="00D040E6" w:rsidRDefault="00D040E6" w:rsidP="0077475F">
      <w:pPr>
        <w:ind w:left="720"/>
        <w:contextualSpacing/>
        <w:jc w:val="both"/>
        <w:rPr>
          <w:rFonts w:eastAsia="Times New Roman" w:cs="Arial"/>
          <w:sz w:val="28"/>
          <w:szCs w:val="28"/>
        </w:rPr>
      </w:pPr>
    </w:p>
    <w:p w14:paraId="2E0ED804" w14:textId="77777777" w:rsidR="00D040E6" w:rsidRPr="00D040E6" w:rsidRDefault="00D040E6" w:rsidP="0077475F">
      <w:pPr>
        <w:jc w:val="both"/>
        <w:rPr>
          <w:rFonts w:eastAsia="Times New Roman" w:cs="Arial"/>
          <w:sz w:val="28"/>
          <w:szCs w:val="28"/>
          <w:lang w:val="en-US" w:eastAsia="zh-TW"/>
        </w:rPr>
      </w:pPr>
      <w:r w:rsidRPr="00D040E6">
        <w:rPr>
          <w:rFonts w:eastAsia="Times New Roman" w:cs="Arial"/>
          <w:sz w:val="28"/>
          <w:szCs w:val="28"/>
        </w:rPr>
        <w:tab/>
        <w:t xml:space="preserve">Lastly, </w:t>
      </w:r>
      <w:r w:rsidRPr="00D040E6">
        <w:rPr>
          <w:rFonts w:eastAsia="Times New Roman" w:cs="Arial"/>
          <w:sz w:val="28"/>
          <w:szCs w:val="28"/>
          <w:lang w:val="en-US" w:eastAsia="zh-TW"/>
        </w:rPr>
        <w:t>we wish Poland a successful UPR.</w:t>
      </w:r>
    </w:p>
    <w:p w14:paraId="0A81E228" w14:textId="77777777" w:rsidR="00D040E6" w:rsidRPr="00D040E6" w:rsidRDefault="00D040E6" w:rsidP="0077475F">
      <w:pPr>
        <w:jc w:val="both"/>
        <w:rPr>
          <w:rFonts w:eastAsia="Times New Roman" w:cs="Arial"/>
          <w:sz w:val="28"/>
          <w:szCs w:val="28"/>
          <w:lang w:val="en-US" w:eastAsia="zh-TW"/>
        </w:rPr>
      </w:pPr>
    </w:p>
    <w:p w14:paraId="4A199697" w14:textId="453DE90A" w:rsidR="00F209A9" w:rsidRPr="00F209A9" w:rsidRDefault="00D040E6" w:rsidP="0077475F">
      <w:pPr>
        <w:ind w:firstLine="360"/>
        <w:jc w:val="both"/>
        <w:rPr>
          <w:rFonts w:eastAsia="Times New Roman" w:cs="Arial"/>
          <w:sz w:val="28"/>
          <w:szCs w:val="28"/>
        </w:rPr>
      </w:pPr>
      <w:r w:rsidRPr="00D040E6">
        <w:rPr>
          <w:rFonts w:eastAsia="Times New Roman" w:cs="Arial"/>
          <w:sz w:val="28"/>
          <w:szCs w:val="28"/>
          <w:lang w:val="en-US" w:eastAsia="zh-TW"/>
        </w:rPr>
        <w:tab/>
        <w:t>Thank you, Mr. President.</w:t>
      </w:r>
      <w:r>
        <w:rPr>
          <w:rFonts w:eastAsia="Times New Roman" w:cs="Arial"/>
          <w:sz w:val="28"/>
          <w:szCs w:val="28"/>
          <w:lang w:val="en-US" w:eastAsia="zh-TW"/>
        </w:rPr>
        <w:t xml:space="preserve"> END</w:t>
      </w:r>
    </w:p>
    <w:p w14:paraId="42EF7632" w14:textId="779628AA" w:rsidR="00BA3196" w:rsidRDefault="00BA3196" w:rsidP="00BC15A6">
      <w:pPr>
        <w:ind w:firstLine="540"/>
        <w:jc w:val="both"/>
        <w:rPr>
          <w:rFonts w:cs="Arial"/>
          <w:sz w:val="28"/>
          <w:szCs w:val="28"/>
        </w:rPr>
      </w:pPr>
    </w:p>
    <w:p w14:paraId="5030ACCD" w14:textId="76621786" w:rsidR="00716904" w:rsidRPr="00716904" w:rsidRDefault="00716904" w:rsidP="0077475F">
      <w:pPr>
        <w:shd w:val="clear" w:color="auto" w:fill="FFFFFF"/>
        <w:jc w:val="both"/>
        <w:rPr>
          <w:rFonts w:cs="Arial"/>
          <w:b/>
          <w:sz w:val="28"/>
          <w:szCs w:val="28"/>
        </w:rPr>
      </w:pP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C43E" w14:textId="77777777" w:rsidR="001F4234" w:rsidRDefault="001F4234" w:rsidP="00FF2D2A">
      <w:r>
        <w:separator/>
      </w:r>
    </w:p>
  </w:endnote>
  <w:endnote w:type="continuationSeparator" w:id="0">
    <w:p w14:paraId="33910FBE" w14:textId="77777777" w:rsidR="001F4234" w:rsidRDefault="001F4234"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510F" w14:textId="77777777" w:rsidR="001F4234" w:rsidRDefault="001F4234" w:rsidP="00FF2D2A">
      <w:r>
        <w:separator/>
      </w:r>
    </w:p>
  </w:footnote>
  <w:footnote w:type="continuationSeparator" w:id="0">
    <w:p w14:paraId="34B447DE" w14:textId="77777777" w:rsidR="001F4234" w:rsidRDefault="001F4234"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2B92EAE"/>
    <w:multiLevelType w:val="hybridMultilevel"/>
    <w:tmpl w:val="FFFFFFFF"/>
    <w:lvl w:ilvl="0" w:tplc="93A46D7C">
      <w:start w:val="1"/>
      <w:numFmt w:val="decimal"/>
      <w:lvlText w:val="%1."/>
      <w:lvlJc w:val="left"/>
      <w:pPr>
        <w:ind w:left="850" w:hanging="49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41203D71"/>
    <w:multiLevelType w:val="hybridMultilevel"/>
    <w:tmpl w:val="FFFFFFFF"/>
    <w:lvl w:ilvl="0" w:tplc="35F2E77C">
      <w:start w:val="1"/>
      <w:numFmt w:val="decimal"/>
      <w:lvlText w:val="(%1)"/>
      <w:lvlJc w:val="left"/>
      <w:pPr>
        <w:ind w:left="720" w:hanging="360"/>
      </w:pPr>
      <w:rPr>
        <w:rFonts w:cs="Times New Roman" w:hint="default"/>
        <w:color w:val="202124"/>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31DD6"/>
    <w:multiLevelType w:val="hybridMultilevel"/>
    <w:tmpl w:val="BC1CEE22"/>
    <w:lvl w:ilvl="0" w:tplc="20000001">
      <w:start w:val="1"/>
      <w:numFmt w:val="bullet"/>
      <w:lvlText w:val=""/>
      <w:lvlJc w:val="left"/>
      <w:pPr>
        <w:ind w:left="800" w:hanging="360"/>
      </w:pPr>
      <w:rPr>
        <w:rFonts w:ascii="Symbol" w:hAnsi="Symbol" w:hint="default"/>
      </w:rPr>
    </w:lvl>
    <w:lvl w:ilvl="1" w:tplc="20000003" w:tentative="1">
      <w:start w:val="1"/>
      <w:numFmt w:val="bullet"/>
      <w:lvlText w:val="o"/>
      <w:lvlJc w:val="left"/>
      <w:pPr>
        <w:ind w:left="1520" w:hanging="360"/>
      </w:pPr>
      <w:rPr>
        <w:rFonts w:ascii="Courier New" w:hAnsi="Courier New" w:cs="Courier New" w:hint="default"/>
      </w:rPr>
    </w:lvl>
    <w:lvl w:ilvl="2" w:tplc="20000005" w:tentative="1">
      <w:start w:val="1"/>
      <w:numFmt w:val="bullet"/>
      <w:lvlText w:val=""/>
      <w:lvlJc w:val="left"/>
      <w:pPr>
        <w:ind w:left="2240" w:hanging="360"/>
      </w:pPr>
      <w:rPr>
        <w:rFonts w:ascii="Wingdings" w:hAnsi="Wingdings" w:hint="default"/>
      </w:rPr>
    </w:lvl>
    <w:lvl w:ilvl="3" w:tplc="20000001" w:tentative="1">
      <w:start w:val="1"/>
      <w:numFmt w:val="bullet"/>
      <w:lvlText w:val=""/>
      <w:lvlJc w:val="left"/>
      <w:pPr>
        <w:ind w:left="2960" w:hanging="360"/>
      </w:pPr>
      <w:rPr>
        <w:rFonts w:ascii="Symbol" w:hAnsi="Symbol" w:hint="default"/>
      </w:rPr>
    </w:lvl>
    <w:lvl w:ilvl="4" w:tplc="20000003" w:tentative="1">
      <w:start w:val="1"/>
      <w:numFmt w:val="bullet"/>
      <w:lvlText w:val="o"/>
      <w:lvlJc w:val="left"/>
      <w:pPr>
        <w:ind w:left="3680" w:hanging="360"/>
      </w:pPr>
      <w:rPr>
        <w:rFonts w:ascii="Courier New" w:hAnsi="Courier New" w:cs="Courier New" w:hint="default"/>
      </w:rPr>
    </w:lvl>
    <w:lvl w:ilvl="5" w:tplc="20000005" w:tentative="1">
      <w:start w:val="1"/>
      <w:numFmt w:val="bullet"/>
      <w:lvlText w:val=""/>
      <w:lvlJc w:val="left"/>
      <w:pPr>
        <w:ind w:left="4400" w:hanging="360"/>
      </w:pPr>
      <w:rPr>
        <w:rFonts w:ascii="Wingdings" w:hAnsi="Wingdings" w:hint="default"/>
      </w:rPr>
    </w:lvl>
    <w:lvl w:ilvl="6" w:tplc="20000001" w:tentative="1">
      <w:start w:val="1"/>
      <w:numFmt w:val="bullet"/>
      <w:lvlText w:val=""/>
      <w:lvlJc w:val="left"/>
      <w:pPr>
        <w:ind w:left="5120" w:hanging="360"/>
      </w:pPr>
      <w:rPr>
        <w:rFonts w:ascii="Symbol" w:hAnsi="Symbol" w:hint="default"/>
      </w:rPr>
    </w:lvl>
    <w:lvl w:ilvl="7" w:tplc="20000003" w:tentative="1">
      <w:start w:val="1"/>
      <w:numFmt w:val="bullet"/>
      <w:lvlText w:val="o"/>
      <w:lvlJc w:val="left"/>
      <w:pPr>
        <w:ind w:left="5840" w:hanging="360"/>
      </w:pPr>
      <w:rPr>
        <w:rFonts w:ascii="Courier New" w:hAnsi="Courier New" w:cs="Courier New" w:hint="default"/>
      </w:rPr>
    </w:lvl>
    <w:lvl w:ilvl="8" w:tplc="20000005" w:tentative="1">
      <w:start w:val="1"/>
      <w:numFmt w:val="bullet"/>
      <w:lvlText w:val=""/>
      <w:lvlJc w:val="left"/>
      <w:pPr>
        <w:ind w:left="6560" w:hanging="360"/>
      </w:pPr>
      <w:rPr>
        <w:rFonts w:ascii="Wingdings" w:hAnsi="Wingdings" w:hint="default"/>
      </w:rPr>
    </w:lvl>
  </w:abstractNum>
  <w:num w:numId="1" w16cid:durableId="1699089209">
    <w:abstractNumId w:val="5"/>
  </w:num>
  <w:num w:numId="2" w16cid:durableId="535897076">
    <w:abstractNumId w:val="4"/>
  </w:num>
  <w:num w:numId="3" w16cid:durableId="921525091">
    <w:abstractNumId w:val="1"/>
  </w:num>
  <w:num w:numId="4" w16cid:durableId="1323894729">
    <w:abstractNumId w:val="0"/>
  </w:num>
  <w:num w:numId="5" w16cid:durableId="843014481">
    <w:abstractNumId w:val="3"/>
  </w:num>
  <w:num w:numId="6" w16cid:durableId="1285425546">
    <w:abstractNumId w:val="6"/>
  </w:num>
  <w:num w:numId="7" w16cid:durableId="1802503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403"/>
    <w:rsid w:val="00012A04"/>
    <w:rsid w:val="00022AD6"/>
    <w:rsid w:val="00024B21"/>
    <w:rsid w:val="000264EB"/>
    <w:rsid w:val="00026AC2"/>
    <w:rsid w:val="000274BA"/>
    <w:rsid w:val="000331A4"/>
    <w:rsid w:val="00033AA4"/>
    <w:rsid w:val="00035B44"/>
    <w:rsid w:val="000400F2"/>
    <w:rsid w:val="0004588E"/>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15FF"/>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3729"/>
    <w:rsid w:val="001A515A"/>
    <w:rsid w:val="001A6480"/>
    <w:rsid w:val="001A6D9C"/>
    <w:rsid w:val="001C497C"/>
    <w:rsid w:val="001D4DB0"/>
    <w:rsid w:val="001E2F42"/>
    <w:rsid w:val="001E3C56"/>
    <w:rsid w:val="001F4234"/>
    <w:rsid w:val="001F6049"/>
    <w:rsid w:val="00222874"/>
    <w:rsid w:val="00223387"/>
    <w:rsid w:val="00225866"/>
    <w:rsid w:val="00231509"/>
    <w:rsid w:val="00242119"/>
    <w:rsid w:val="00242AB7"/>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3415"/>
    <w:rsid w:val="002A585E"/>
    <w:rsid w:val="002B5726"/>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5FA9"/>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05238"/>
    <w:rsid w:val="00412901"/>
    <w:rsid w:val="00416686"/>
    <w:rsid w:val="00416F64"/>
    <w:rsid w:val="004305AA"/>
    <w:rsid w:val="004315DE"/>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5EFF"/>
    <w:rsid w:val="0058081F"/>
    <w:rsid w:val="00582587"/>
    <w:rsid w:val="005852EF"/>
    <w:rsid w:val="005874F2"/>
    <w:rsid w:val="00590B69"/>
    <w:rsid w:val="0059456D"/>
    <w:rsid w:val="00597D7B"/>
    <w:rsid w:val="005A20C0"/>
    <w:rsid w:val="005A29D4"/>
    <w:rsid w:val="005A2B9B"/>
    <w:rsid w:val="005A5787"/>
    <w:rsid w:val="005B29FE"/>
    <w:rsid w:val="005C082F"/>
    <w:rsid w:val="005C0D37"/>
    <w:rsid w:val="005C25A7"/>
    <w:rsid w:val="005C3FCB"/>
    <w:rsid w:val="005D129B"/>
    <w:rsid w:val="005D3B7D"/>
    <w:rsid w:val="005D5036"/>
    <w:rsid w:val="005E0FDF"/>
    <w:rsid w:val="005E77D3"/>
    <w:rsid w:val="005F1A72"/>
    <w:rsid w:val="005F6930"/>
    <w:rsid w:val="006007BB"/>
    <w:rsid w:val="006047F1"/>
    <w:rsid w:val="00607945"/>
    <w:rsid w:val="006104BE"/>
    <w:rsid w:val="00614886"/>
    <w:rsid w:val="00614B5F"/>
    <w:rsid w:val="0061519A"/>
    <w:rsid w:val="00620FC3"/>
    <w:rsid w:val="006236DB"/>
    <w:rsid w:val="00624981"/>
    <w:rsid w:val="00634673"/>
    <w:rsid w:val="00642034"/>
    <w:rsid w:val="006433DD"/>
    <w:rsid w:val="00645D94"/>
    <w:rsid w:val="00645DB0"/>
    <w:rsid w:val="006501A7"/>
    <w:rsid w:val="00652031"/>
    <w:rsid w:val="00657C37"/>
    <w:rsid w:val="00657C62"/>
    <w:rsid w:val="0066050C"/>
    <w:rsid w:val="006655D9"/>
    <w:rsid w:val="00665A7F"/>
    <w:rsid w:val="00665E11"/>
    <w:rsid w:val="00667370"/>
    <w:rsid w:val="00672928"/>
    <w:rsid w:val="00675494"/>
    <w:rsid w:val="0068214A"/>
    <w:rsid w:val="0068770F"/>
    <w:rsid w:val="006918C4"/>
    <w:rsid w:val="006946E7"/>
    <w:rsid w:val="006A18FE"/>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16904"/>
    <w:rsid w:val="0072366F"/>
    <w:rsid w:val="007255E0"/>
    <w:rsid w:val="0073137D"/>
    <w:rsid w:val="0073616A"/>
    <w:rsid w:val="00740362"/>
    <w:rsid w:val="007555FE"/>
    <w:rsid w:val="00756A8D"/>
    <w:rsid w:val="00757677"/>
    <w:rsid w:val="007623BF"/>
    <w:rsid w:val="00763004"/>
    <w:rsid w:val="0076751B"/>
    <w:rsid w:val="0077470C"/>
    <w:rsid w:val="0077475F"/>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81A1C"/>
    <w:rsid w:val="0088510B"/>
    <w:rsid w:val="00892486"/>
    <w:rsid w:val="00897750"/>
    <w:rsid w:val="008A086C"/>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626E"/>
    <w:rsid w:val="00950BAC"/>
    <w:rsid w:val="009520A4"/>
    <w:rsid w:val="00952534"/>
    <w:rsid w:val="00953F42"/>
    <w:rsid w:val="00954DC9"/>
    <w:rsid w:val="00961A28"/>
    <w:rsid w:val="00964925"/>
    <w:rsid w:val="00964C6C"/>
    <w:rsid w:val="00967022"/>
    <w:rsid w:val="0096703D"/>
    <w:rsid w:val="009715CE"/>
    <w:rsid w:val="009722E6"/>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2CBE"/>
    <w:rsid w:val="009A7CAA"/>
    <w:rsid w:val="009B1441"/>
    <w:rsid w:val="009B78C6"/>
    <w:rsid w:val="009C1F35"/>
    <w:rsid w:val="009D3585"/>
    <w:rsid w:val="009E11D3"/>
    <w:rsid w:val="009E324F"/>
    <w:rsid w:val="009E7DE3"/>
    <w:rsid w:val="009E7EF1"/>
    <w:rsid w:val="009F16B6"/>
    <w:rsid w:val="00A01AFF"/>
    <w:rsid w:val="00A03DEF"/>
    <w:rsid w:val="00A10F2C"/>
    <w:rsid w:val="00A235DD"/>
    <w:rsid w:val="00A25C3F"/>
    <w:rsid w:val="00A277A8"/>
    <w:rsid w:val="00A3248A"/>
    <w:rsid w:val="00A3516A"/>
    <w:rsid w:val="00A36129"/>
    <w:rsid w:val="00A459E1"/>
    <w:rsid w:val="00A479D8"/>
    <w:rsid w:val="00A5008F"/>
    <w:rsid w:val="00A612A7"/>
    <w:rsid w:val="00A64A9A"/>
    <w:rsid w:val="00A7308A"/>
    <w:rsid w:val="00A7385B"/>
    <w:rsid w:val="00A8107A"/>
    <w:rsid w:val="00A84E46"/>
    <w:rsid w:val="00A86930"/>
    <w:rsid w:val="00A9283D"/>
    <w:rsid w:val="00A977EF"/>
    <w:rsid w:val="00AA0C86"/>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6413A"/>
    <w:rsid w:val="00B7085A"/>
    <w:rsid w:val="00B715D2"/>
    <w:rsid w:val="00B8104A"/>
    <w:rsid w:val="00B85E39"/>
    <w:rsid w:val="00B90A6C"/>
    <w:rsid w:val="00B913C4"/>
    <w:rsid w:val="00B9508C"/>
    <w:rsid w:val="00B95357"/>
    <w:rsid w:val="00B95E47"/>
    <w:rsid w:val="00BA3196"/>
    <w:rsid w:val="00BA7202"/>
    <w:rsid w:val="00BB1F3A"/>
    <w:rsid w:val="00BB1F65"/>
    <w:rsid w:val="00BB251F"/>
    <w:rsid w:val="00BB5C11"/>
    <w:rsid w:val="00BB7815"/>
    <w:rsid w:val="00BC15A6"/>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3CD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0EF2"/>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1A9E"/>
    <w:rsid w:val="00CF280E"/>
    <w:rsid w:val="00CF3B12"/>
    <w:rsid w:val="00CF6CB7"/>
    <w:rsid w:val="00CF79EA"/>
    <w:rsid w:val="00D02E73"/>
    <w:rsid w:val="00D037E8"/>
    <w:rsid w:val="00D040E6"/>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D2B57"/>
    <w:rsid w:val="00DD48CF"/>
    <w:rsid w:val="00DE06B1"/>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5069"/>
    <w:rsid w:val="00E35218"/>
    <w:rsid w:val="00E37958"/>
    <w:rsid w:val="00E423C6"/>
    <w:rsid w:val="00E42F09"/>
    <w:rsid w:val="00E54FFB"/>
    <w:rsid w:val="00E55197"/>
    <w:rsid w:val="00E60076"/>
    <w:rsid w:val="00E60A5F"/>
    <w:rsid w:val="00E61CE8"/>
    <w:rsid w:val="00E61F82"/>
    <w:rsid w:val="00E6287A"/>
    <w:rsid w:val="00E73AE3"/>
    <w:rsid w:val="00E754C4"/>
    <w:rsid w:val="00E75743"/>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09A9"/>
    <w:rsid w:val="00F22B1A"/>
    <w:rsid w:val="00F233D9"/>
    <w:rsid w:val="00F264DB"/>
    <w:rsid w:val="00F343DC"/>
    <w:rsid w:val="00F3691F"/>
    <w:rsid w:val="00F42167"/>
    <w:rsid w:val="00F4428C"/>
    <w:rsid w:val="00F471E1"/>
    <w:rsid w:val="00F5179F"/>
    <w:rsid w:val="00F5328C"/>
    <w:rsid w:val="00F55700"/>
    <w:rsid w:val="00F55980"/>
    <w:rsid w:val="00F55B1E"/>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15A6"/>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3DB6F-F856-3A4A-94D4-5471294A82F0}"/>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28834D6A-45DB-4561-9081-828BC9A5D91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2022-11-04T21:55:00Z</cp:lastPrinted>
  <dcterms:created xsi:type="dcterms:W3CDTF">2022-11-17T12:48:00Z</dcterms:created>
  <dcterms:modified xsi:type="dcterms:W3CDTF">2022-11-17T12:48:00Z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