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EB1" w:rsidRPr="00110EB1" w:rsidRDefault="00110EB1" w:rsidP="00110EB1">
      <w:pPr>
        <w:jc w:val="center"/>
        <w:rPr>
          <w:lang w:val="en-US"/>
        </w:rPr>
      </w:pPr>
      <w:r w:rsidRPr="00110EB1">
        <w:rPr>
          <w:rFonts w:eastAsiaTheme="minorEastAsia" w:cs="Calibri"/>
          <w:b/>
          <w:bCs/>
          <w:noProof/>
          <w:lang w:eastAsia="fi-FI"/>
        </w:rPr>
        <w:drawing>
          <wp:inline distT="0" distB="0" distL="0" distR="0" wp14:anchorId="690B2258" wp14:editId="6B3188E5">
            <wp:extent cx="2938780" cy="145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8780" cy="1450975"/>
                    </a:xfrm>
                    <a:prstGeom prst="rect">
                      <a:avLst/>
                    </a:prstGeom>
                    <a:noFill/>
                  </pic:spPr>
                </pic:pic>
              </a:graphicData>
            </a:graphic>
          </wp:inline>
        </w:drawing>
      </w:r>
    </w:p>
    <w:p w:rsidR="00110EB1" w:rsidRDefault="00110EB1" w:rsidP="00110EB1">
      <w:pPr>
        <w:jc w:val="center"/>
        <w:rPr>
          <w:b/>
          <w:bCs/>
          <w:lang w:val="en-US"/>
        </w:rPr>
      </w:pPr>
      <w:r w:rsidRPr="00110EB1">
        <w:rPr>
          <w:b/>
          <w:bCs/>
          <w:lang w:val="en-US"/>
        </w:rPr>
        <w:t xml:space="preserve">41. Session of the UPR working group </w:t>
      </w:r>
    </w:p>
    <w:p w:rsidR="00110EB1" w:rsidRPr="00110EB1" w:rsidRDefault="00110EB1" w:rsidP="00110EB1">
      <w:pPr>
        <w:jc w:val="center"/>
        <w:rPr>
          <w:b/>
          <w:bCs/>
          <w:lang w:val="en-US"/>
        </w:rPr>
      </w:pPr>
      <w:bookmarkStart w:id="0" w:name="_GoBack"/>
      <w:bookmarkEnd w:id="0"/>
      <w:r w:rsidRPr="00110EB1">
        <w:rPr>
          <w:b/>
          <w:bCs/>
          <w:lang w:val="en-US"/>
        </w:rPr>
        <w:t>Recommendations by Finland to India</w:t>
      </w:r>
    </w:p>
    <w:p w:rsidR="00110EB1" w:rsidRPr="00110EB1" w:rsidRDefault="00110EB1" w:rsidP="00110EB1">
      <w:pPr>
        <w:jc w:val="center"/>
        <w:rPr>
          <w:b/>
          <w:bCs/>
          <w:lang w:val="en-US"/>
        </w:rPr>
      </w:pPr>
      <w:r w:rsidRPr="00110EB1">
        <w:rPr>
          <w:b/>
          <w:bCs/>
          <w:lang w:val="en-US"/>
        </w:rPr>
        <w:t>10 November 2022</w:t>
      </w:r>
    </w:p>
    <w:p w:rsidR="00110EB1" w:rsidRDefault="00110EB1" w:rsidP="00110EB1">
      <w:pPr>
        <w:jc w:val="center"/>
        <w:rPr>
          <w:lang w:val="en-US"/>
        </w:rPr>
      </w:pPr>
    </w:p>
    <w:p w:rsidR="00110EB1" w:rsidRDefault="00110EB1" w:rsidP="00110EB1">
      <w:pPr>
        <w:jc w:val="center"/>
        <w:rPr>
          <w:lang w:val="en-US"/>
        </w:rPr>
      </w:pPr>
    </w:p>
    <w:p w:rsidR="00110EB1" w:rsidRPr="00110EB1" w:rsidRDefault="00110EB1" w:rsidP="00110EB1">
      <w:pPr>
        <w:jc w:val="center"/>
        <w:rPr>
          <w:lang w:val="en-US"/>
        </w:rPr>
      </w:pPr>
    </w:p>
    <w:p w:rsidR="00110EB1" w:rsidRPr="00110EB1" w:rsidRDefault="00110EB1" w:rsidP="00110EB1">
      <w:pPr>
        <w:rPr>
          <w:sz w:val="24"/>
          <w:szCs w:val="24"/>
          <w:lang w:val="en-US"/>
        </w:rPr>
      </w:pPr>
      <w:r w:rsidRPr="00110EB1">
        <w:rPr>
          <w:sz w:val="24"/>
          <w:szCs w:val="24"/>
          <w:lang w:val="en-US"/>
        </w:rPr>
        <w:t>Mr. President,</w:t>
      </w:r>
    </w:p>
    <w:p w:rsidR="00110EB1" w:rsidRPr="00110EB1" w:rsidRDefault="00110EB1" w:rsidP="00110EB1">
      <w:pPr>
        <w:rPr>
          <w:sz w:val="24"/>
          <w:szCs w:val="24"/>
          <w:lang w:val="en-US"/>
        </w:rPr>
      </w:pPr>
    </w:p>
    <w:p w:rsidR="00110EB1" w:rsidRPr="00110EB1" w:rsidRDefault="00110EB1" w:rsidP="00110EB1">
      <w:pPr>
        <w:rPr>
          <w:sz w:val="24"/>
          <w:szCs w:val="24"/>
          <w:lang w:val="en-GB"/>
        </w:rPr>
      </w:pPr>
      <w:r w:rsidRPr="00110EB1">
        <w:rPr>
          <w:sz w:val="24"/>
          <w:szCs w:val="24"/>
          <w:lang w:val="en-GB"/>
        </w:rPr>
        <w:t xml:space="preserve">Finland welcomes the engagement of India in the UPR process. We welcome the ruling of the Supreme Court of India that all women can obtain abortions up to 24 weeks into their pregnancies. Finland recommends: </w:t>
      </w:r>
    </w:p>
    <w:p w:rsidR="00110EB1" w:rsidRPr="00110EB1" w:rsidRDefault="00110EB1" w:rsidP="00110EB1">
      <w:pPr>
        <w:jc w:val="both"/>
        <w:rPr>
          <w:sz w:val="24"/>
          <w:szCs w:val="24"/>
          <w:lang w:val="en-GB"/>
        </w:rPr>
      </w:pPr>
      <w:r w:rsidRPr="00110EB1">
        <w:rPr>
          <w:sz w:val="24"/>
          <w:szCs w:val="24"/>
          <w:lang w:val="en-GB"/>
        </w:rPr>
        <w:t xml:space="preserve"> </w:t>
      </w:r>
    </w:p>
    <w:p w:rsidR="00110EB1" w:rsidRPr="00110EB1" w:rsidRDefault="00110EB1" w:rsidP="00110EB1">
      <w:pPr>
        <w:widowControl w:val="0"/>
        <w:numPr>
          <w:ilvl w:val="0"/>
          <w:numId w:val="1"/>
        </w:numPr>
        <w:autoSpaceDE w:val="0"/>
        <w:autoSpaceDN w:val="0"/>
        <w:adjustRightInd w:val="0"/>
        <w:spacing w:after="0" w:line="240" w:lineRule="auto"/>
        <w:rPr>
          <w:sz w:val="24"/>
          <w:szCs w:val="24"/>
          <w:lang w:val="en-GB"/>
        </w:rPr>
      </w:pPr>
      <w:r w:rsidRPr="00110EB1">
        <w:rPr>
          <w:sz w:val="24"/>
          <w:szCs w:val="24"/>
          <w:lang w:val="en-GB"/>
        </w:rPr>
        <w:t>Firstly, to take measures to stop violence against women with disabilities by implementing provisions of amended criminal laws pertaining to sexual violence,</w:t>
      </w:r>
    </w:p>
    <w:p w:rsidR="00110EB1" w:rsidRPr="00110EB1" w:rsidRDefault="00110EB1" w:rsidP="00110EB1">
      <w:pPr>
        <w:ind w:left="360"/>
        <w:rPr>
          <w:sz w:val="24"/>
          <w:szCs w:val="24"/>
          <w:lang w:val="en-GB"/>
        </w:rPr>
      </w:pPr>
    </w:p>
    <w:p w:rsidR="00110EB1" w:rsidRPr="00110EB1" w:rsidRDefault="00110EB1" w:rsidP="00110EB1">
      <w:pPr>
        <w:widowControl w:val="0"/>
        <w:numPr>
          <w:ilvl w:val="0"/>
          <w:numId w:val="1"/>
        </w:numPr>
        <w:autoSpaceDE w:val="0"/>
        <w:autoSpaceDN w:val="0"/>
        <w:adjustRightInd w:val="0"/>
        <w:spacing w:after="0" w:line="240" w:lineRule="auto"/>
        <w:rPr>
          <w:sz w:val="24"/>
          <w:szCs w:val="24"/>
          <w:lang w:val="en-GB"/>
        </w:rPr>
      </w:pPr>
      <w:r w:rsidRPr="00110EB1">
        <w:rPr>
          <w:sz w:val="24"/>
          <w:szCs w:val="24"/>
          <w:lang w:val="en-GB"/>
        </w:rPr>
        <w:t>Secondly, to decentralize and simplify the Unique Disability Identity card system and its certification process,</w:t>
      </w:r>
    </w:p>
    <w:p w:rsidR="00110EB1" w:rsidRPr="00110EB1" w:rsidRDefault="00110EB1" w:rsidP="00110EB1">
      <w:pPr>
        <w:rPr>
          <w:sz w:val="24"/>
          <w:szCs w:val="24"/>
          <w:lang w:val="en-GB"/>
        </w:rPr>
      </w:pPr>
    </w:p>
    <w:p w:rsidR="00110EB1" w:rsidRPr="00110EB1" w:rsidRDefault="00110EB1" w:rsidP="00110EB1">
      <w:pPr>
        <w:widowControl w:val="0"/>
        <w:numPr>
          <w:ilvl w:val="0"/>
          <w:numId w:val="1"/>
        </w:numPr>
        <w:autoSpaceDE w:val="0"/>
        <w:autoSpaceDN w:val="0"/>
        <w:adjustRightInd w:val="0"/>
        <w:spacing w:after="0" w:line="240" w:lineRule="auto"/>
        <w:rPr>
          <w:rFonts w:eastAsiaTheme="minorEastAsia" w:cs="Calibri"/>
          <w:sz w:val="24"/>
          <w:szCs w:val="24"/>
          <w:lang w:val="en-GB"/>
        </w:rPr>
      </w:pPr>
      <w:r w:rsidRPr="00110EB1">
        <w:rPr>
          <w:rFonts w:eastAsiaTheme="minorEastAsia" w:cs="Calibri"/>
          <w:sz w:val="24"/>
          <w:szCs w:val="24"/>
          <w:lang w:val="en-GB"/>
        </w:rPr>
        <w:t xml:space="preserve">Thirdly, to strengthen the implementation of the </w:t>
      </w:r>
      <w:proofErr w:type="spellStart"/>
      <w:r w:rsidRPr="00110EB1">
        <w:rPr>
          <w:rFonts w:eastAsiaTheme="minorEastAsia" w:cs="Calibri"/>
          <w:sz w:val="24"/>
          <w:szCs w:val="24"/>
          <w:lang w:val="en-GB"/>
        </w:rPr>
        <w:t>Whistleblowers</w:t>
      </w:r>
      <w:proofErr w:type="spellEnd"/>
      <w:r w:rsidRPr="00110EB1">
        <w:rPr>
          <w:rFonts w:eastAsiaTheme="minorEastAsia" w:cs="Calibri"/>
          <w:sz w:val="24"/>
          <w:szCs w:val="24"/>
          <w:lang w:val="en-GB"/>
        </w:rPr>
        <w:t xml:space="preserve"> Protection Act 2014, and </w:t>
      </w:r>
      <w:r w:rsidRPr="00110EB1">
        <w:rPr>
          <w:rFonts w:ascii="Calibri" w:eastAsiaTheme="minorEastAsia" w:hAnsi="Calibri" w:cs="Calibri"/>
          <w:sz w:val="24"/>
          <w:szCs w:val="24"/>
          <w:lang w:val="en-US"/>
        </w:rPr>
        <w:t xml:space="preserve">provide universal protection to the whistleblowers. </w:t>
      </w:r>
    </w:p>
    <w:p w:rsidR="00110EB1" w:rsidRPr="00110EB1" w:rsidRDefault="00110EB1" w:rsidP="00110EB1">
      <w:pPr>
        <w:rPr>
          <w:sz w:val="24"/>
          <w:szCs w:val="24"/>
          <w:lang w:val="en-US"/>
        </w:rPr>
      </w:pPr>
    </w:p>
    <w:p w:rsidR="00110EB1" w:rsidRPr="00110EB1" w:rsidRDefault="00110EB1" w:rsidP="00110EB1">
      <w:pPr>
        <w:rPr>
          <w:sz w:val="24"/>
          <w:szCs w:val="24"/>
          <w:lang w:val="en-US"/>
        </w:rPr>
      </w:pPr>
    </w:p>
    <w:p w:rsidR="00110EB1" w:rsidRPr="00110EB1" w:rsidRDefault="00110EB1" w:rsidP="00110EB1">
      <w:pPr>
        <w:rPr>
          <w:sz w:val="24"/>
          <w:szCs w:val="24"/>
          <w:lang w:val="en-US"/>
        </w:rPr>
      </w:pPr>
      <w:r w:rsidRPr="00110EB1">
        <w:rPr>
          <w:sz w:val="24"/>
          <w:szCs w:val="24"/>
          <w:lang w:val="en-US"/>
        </w:rPr>
        <w:t>Thank you.</w:t>
      </w:r>
    </w:p>
    <w:p w:rsidR="00110EB1" w:rsidRPr="00110EB1" w:rsidRDefault="00110EB1" w:rsidP="00110EB1">
      <w:pPr>
        <w:rPr>
          <w:sz w:val="24"/>
          <w:szCs w:val="24"/>
          <w:lang w:val="en-US"/>
        </w:rPr>
      </w:pPr>
    </w:p>
    <w:p w:rsidR="00110EB1" w:rsidRPr="00110EB1" w:rsidRDefault="00110EB1" w:rsidP="00110EB1">
      <w:pPr>
        <w:jc w:val="both"/>
        <w:rPr>
          <w:lang w:val="en-US"/>
        </w:rPr>
      </w:pPr>
    </w:p>
    <w:p w:rsidR="00110EB1" w:rsidRPr="00110EB1" w:rsidRDefault="00110EB1" w:rsidP="00110EB1">
      <w:pPr>
        <w:jc w:val="both"/>
        <w:rPr>
          <w:lang w:val="en-US"/>
        </w:rPr>
      </w:pPr>
    </w:p>
    <w:p w:rsidR="00110EB1" w:rsidRDefault="00110EB1"/>
    <w:sectPr w:rsidR="00110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73D7F"/>
    <w:multiLevelType w:val="hybridMultilevel"/>
    <w:tmpl w:val="1D9C3A4C"/>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B1"/>
    <w:rsid w:val="00110EB1"/>
    <w:rsid w:val="004A21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0AD4"/>
  <w15:chartTrackingRefBased/>
  <w15:docId w15:val="{AE393593-FDCC-477A-A388-A75A3B00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771AA2-F260-4E98-B166-13DB38C2B5ED}"/>
</file>

<file path=customXml/itemProps2.xml><?xml version="1.0" encoding="utf-8"?>
<ds:datastoreItem xmlns:ds="http://schemas.openxmlformats.org/officeDocument/2006/customXml" ds:itemID="{F7028B76-F163-4F10-975B-82EB0E0F1165}"/>
</file>

<file path=customXml/itemProps3.xml><?xml version="1.0" encoding="utf-8"?>
<ds:datastoreItem xmlns:ds="http://schemas.openxmlformats.org/officeDocument/2006/customXml" ds:itemID="{135337C2-E822-451A-85CF-2DF451B5B396}"/>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Fournier Sari</dc:creator>
  <cp:keywords/>
  <dc:description/>
  <cp:lastModifiedBy>Fournier Sari</cp:lastModifiedBy>
  <cp:revision>1</cp:revision>
  <dcterms:created xsi:type="dcterms:W3CDTF">2022-11-09T16:44:00Z</dcterms:created>
  <dcterms:modified xsi:type="dcterms:W3CDTF">2022-11-09T16:46:00Z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