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41st Session of the UPR Working Group - Review of the Netherlands</w:t>
      </w:r>
    </w:p>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15 November 2022</w:t>
      </w:r>
    </w:p>
    <w:p>
      <w:pPr>
        <w:spacing w:line="276" w:lineRule="auto"/>
        <w:jc w:val="center"/>
        <w:rPr>
          <w:rFonts w:ascii="Times New Roman" w:hAnsi="Times New Roman" w:eastAsia="Times New Roman" w:cs="Times New Roman"/>
          <w:b/>
          <w:sz w:val="24"/>
          <w:szCs w:val="24"/>
        </w:rPr>
      </w:pPr>
    </w:p>
    <w:p>
      <w:pPr>
        <w:spacing w:line="276"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tl w:val="0"/>
        </w:rPr>
        <w:t>Statement by the Delegation of the Kingdom of Bhutan</w:t>
      </w:r>
    </w:p>
    <w:p>
      <w:pPr>
        <w:spacing w:line="298" w:lineRule="auto"/>
        <w:jc w:val="both"/>
        <w:rPr>
          <w:rFonts w:ascii="Times New Roman" w:hAnsi="Times New Roman" w:eastAsia="Times New Roman" w:cs="Times New Roman"/>
          <w:sz w:val="24"/>
          <w:szCs w:val="24"/>
        </w:rPr>
      </w:pPr>
    </w:p>
    <w:p>
      <w:pPr>
        <w:spacing w:line="298" w:lineRule="auto"/>
        <w:ind w:left="-90" w:firstLine="0"/>
        <w:jc w:val="both"/>
        <w:rPr>
          <w:rFonts w:ascii="Times New Roman" w:hAnsi="Times New Roman" w:eastAsia="Times New Roman" w:cs="Times New Roman"/>
          <w:sz w:val="24"/>
          <w:szCs w:val="24"/>
        </w:rPr>
      </w:pPr>
    </w:p>
    <w:p>
      <w:pPr>
        <w:spacing w:line="298" w:lineRule="auto"/>
        <w:ind w:left="-90" w:firstLine="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 xml:space="preserve">Bhutan welcomes the delegation of Netherlands to the UPR and thanks the delegation for their </w:t>
      </w:r>
      <w:r>
        <w:rPr>
          <w:rFonts w:hint="default" w:ascii="Times New Roman" w:hAnsi="Times New Roman" w:eastAsia="Times New Roman" w:cs="Times New Roman"/>
          <w:sz w:val="26"/>
          <w:szCs w:val="26"/>
          <w:rtl w:val="0"/>
        </w:rPr>
        <w:t>comprehensive presentation</w:t>
      </w:r>
      <w:r>
        <w:rPr>
          <w:rFonts w:ascii="Times New Roman" w:hAnsi="Times New Roman" w:eastAsia="Times New Roman" w:cs="Times New Roman"/>
          <w:sz w:val="26"/>
          <w:szCs w:val="26"/>
          <w:rtl w:val="0"/>
        </w:rPr>
        <w:t xml:space="preserve">. </w:t>
      </w:r>
    </w:p>
    <w:p>
      <w:pPr>
        <w:spacing w:line="298" w:lineRule="auto"/>
        <w:ind w:left="-90" w:firstLine="0"/>
        <w:jc w:val="both"/>
        <w:rPr>
          <w:rFonts w:ascii="Times New Roman" w:hAnsi="Times New Roman" w:eastAsia="Times New Roman" w:cs="Times New Roman"/>
          <w:sz w:val="26"/>
          <w:szCs w:val="26"/>
        </w:rPr>
      </w:pPr>
    </w:p>
    <w:p>
      <w:pPr>
        <w:spacing w:line="298" w:lineRule="auto"/>
        <w:ind w:left="-90" w:firstLine="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 xml:space="preserve">We note Netherland's strong commitment and consistent efforts in implementing  its human rights obligations and laud measures such as the use of Integrated Impact Assessment Framework while drafting legislations and policies. </w:t>
      </w:r>
    </w:p>
    <w:p>
      <w:pPr>
        <w:spacing w:line="298" w:lineRule="auto"/>
        <w:ind w:left="-90" w:firstLine="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 xml:space="preserve"> </w:t>
      </w:r>
    </w:p>
    <w:p>
      <w:pPr>
        <w:spacing w:line="298" w:lineRule="auto"/>
        <w:ind w:left="-90" w:firstLine="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We welcome the adoption of the new action plan in July</w:t>
      </w:r>
      <w:r>
        <w:rPr>
          <w:rFonts w:hint="default" w:ascii="Times New Roman" w:hAnsi="Times New Roman" w:eastAsia="Times New Roman" w:cs="Times New Roman"/>
          <w:sz w:val="26"/>
          <w:szCs w:val="26"/>
          <w:rtl w:val="0"/>
        </w:rPr>
        <w:t xml:space="preserve"> </w:t>
      </w:r>
      <w:r>
        <w:rPr>
          <w:rFonts w:ascii="Times New Roman" w:hAnsi="Times New Roman" w:eastAsia="Times New Roman" w:cs="Times New Roman"/>
          <w:sz w:val="26"/>
          <w:szCs w:val="26"/>
          <w:rtl w:val="0"/>
        </w:rPr>
        <w:t>this year  to combat discrimination in the labour market, and the promotion of the rights of women through the Flexible Working Arrangements Act, extension of paid partner leave and parental leave.</w:t>
      </w:r>
    </w:p>
    <w:p>
      <w:pPr>
        <w:spacing w:line="298" w:lineRule="auto"/>
        <w:jc w:val="both"/>
        <w:rPr>
          <w:rFonts w:ascii="Times New Roman" w:hAnsi="Times New Roman" w:eastAsia="Times New Roman" w:cs="Times New Roman"/>
          <w:sz w:val="26"/>
          <w:szCs w:val="26"/>
        </w:rPr>
      </w:pPr>
    </w:p>
    <w:p>
      <w:pPr>
        <w:spacing w:line="298" w:lineRule="auto"/>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We also welcome the various measures to address the negative impacts of climate change.</w:t>
      </w:r>
    </w:p>
    <w:p>
      <w:pPr>
        <w:spacing w:line="298" w:lineRule="auto"/>
        <w:jc w:val="both"/>
        <w:rPr>
          <w:rFonts w:ascii="Times New Roman" w:hAnsi="Times New Roman" w:eastAsia="Times New Roman" w:cs="Times New Roman"/>
          <w:sz w:val="26"/>
          <w:szCs w:val="26"/>
        </w:rPr>
      </w:pPr>
    </w:p>
    <w:p>
      <w:pPr>
        <w:spacing w:line="298" w:lineRule="auto"/>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 xml:space="preserve">In a spirit of cooperation, Bhutan recommends the following:  </w:t>
      </w:r>
    </w:p>
    <w:p>
      <w:pPr>
        <w:numPr>
          <w:ilvl w:val="0"/>
          <w:numId w:val="1"/>
        </w:numPr>
        <w:spacing w:before="240" w:after="0" w:afterAutospacing="0" w:line="298" w:lineRule="auto"/>
        <w:ind w:left="720" w:hanging="36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Consider further measures to address the gender pay gap, particularly in the private sector;</w:t>
      </w:r>
    </w:p>
    <w:p>
      <w:pPr>
        <w:numPr>
          <w:ilvl w:val="0"/>
          <w:numId w:val="1"/>
        </w:numPr>
        <w:spacing w:before="0" w:beforeAutospacing="0" w:after="240" w:line="298" w:lineRule="auto"/>
        <w:ind w:left="720" w:hanging="360"/>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 xml:space="preserve">Continue its efforts in reducing greenhouse gas emissions and </w:t>
      </w:r>
      <w:r>
        <w:rPr>
          <w:rFonts w:hint="default" w:ascii="Times New Roman" w:hAnsi="Times New Roman" w:eastAsia="Times New Roman" w:cs="Times New Roman"/>
          <w:sz w:val="26"/>
          <w:szCs w:val="26"/>
          <w:rtl w:val="0"/>
        </w:rPr>
        <w:t xml:space="preserve">take </w:t>
      </w:r>
      <w:bookmarkStart w:id="0" w:name="_GoBack"/>
      <w:bookmarkEnd w:id="0"/>
      <w:r>
        <w:rPr>
          <w:rFonts w:ascii="Times New Roman" w:hAnsi="Times New Roman" w:eastAsia="Times New Roman" w:cs="Times New Roman"/>
          <w:sz w:val="26"/>
          <w:szCs w:val="26"/>
          <w:rtl w:val="0"/>
        </w:rPr>
        <w:t>further measures to mitigate the harmful effects of climate change</w:t>
      </w:r>
    </w:p>
    <w:p>
      <w:pPr>
        <w:spacing w:before="240" w:after="240" w:line="298" w:lineRule="auto"/>
        <w:jc w:val="both"/>
        <w:rPr>
          <w:rFonts w:ascii="Times New Roman" w:hAnsi="Times New Roman" w:eastAsia="Times New Roman" w:cs="Times New Roman"/>
          <w:sz w:val="26"/>
          <w:szCs w:val="26"/>
        </w:rPr>
      </w:pPr>
      <w:r>
        <w:rPr>
          <w:rFonts w:ascii="Times New Roman" w:hAnsi="Times New Roman" w:eastAsia="Times New Roman" w:cs="Times New Roman"/>
          <w:sz w:val="26"/>
          <w:szCs w:val="26"/>
          <w:rtl w:val="0"/>
        </w:rPr>
        <w:t>Thank you.</w:t>
      </w:r>
    </w:p>
    <w:p>
      <w:pPr>
        <w:spacing w:before="240" w:after="240" w:line="298"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tl w:val="0"/>
        </w:rPr>
        <w:t>***</w:t>
      </w:r>
    </w:p>
    <w:p>
      <w:pPr>
        <w:spacing w:line="298" w:lineRule="auto"/>
        <w:jc w:val="both"/>
        <w:rPr>
          <w:rFonts w:ascii="Times New Roman" w:hAnsi="Times New Roman" w:eastAsia="Times New Roman" w:cs="Times New Roman"/>
          <w:sz w:val="24"/>
          <w:szCs w:val="24"/>
        </w:rPr>
      </w:pPr>
    </w:p>
    <w:p>
      <w:pPr>
        <w:spacing w:before="240" w:after="240" w:line="298" w:lineRule="auto"/>
        <w:jc w:val="both"/>
        <w:rPr>
          <w:rFonts w:ascii="Times New Roman" w:hAnsi="Times New Roman" w:eastAsia="Times New Roman" w:cs="Times New Roman"/>
          <w:sz w:val="24"/>
          <w:szCs w:val="24"/>
        </w:rPr>
      </w:pPr>
    </w:p>
    <w:p>
      <w:pPr>
        <w:spacing w:before="240" w:after="240" w:line="298" w:lineRule="auto"/>
        <w:jc w:val="both"/>
        <w:rPr>
          <w:rFonts w:ascii="Times New Roman" w:hAnsi="Times New Roman" w:eastAsia="Times New Roman" w:cs="Times New Roman"/>
          <w:sz w:val="24"/>
          <w:szCs w:val="24"/>
        </w:rPr>
      </w:pPr>
    </w:p>
    <w:p>
      <w:pPr>
        <w:spacing w:before="240" w:after="240" w:line="240" w:lineRule="auto"/>
        <w:jc w:val="both"/>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Arial">
    <w:panose1 w:val="020B0604020202020204"/>
    <w:charset w:val="86"/>
    <w:family w:val="swiss"/>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CCC0E7"/>
    <w:multiLevelType w:val="multilevel"/>
    <w:tmpl w:val="FFCCC0E7"/>
    <w:lvl w:ilvl="0" w:tentative="0">
      <w:start w:val="1"/>
      <w:numFmt w:val="decimal"/>
      <w:lvlText w:val="%1."/>
      <w:lvlJc w:val="left"/>
      <w:pPr>
        <w:ind w:left="720" w:hanging="360"/>
      </w:pPr>
      <w:rPr>
        <w:u w:val="none"/>
      </w:rPr>
    </w:lvl>
    <w:lvl w:ilvl="1" w:tentative="0">
      <w:start w:val="1"/>
      <w:numFmt w:val="lowerLetter"/>
      <w:lvlText w:val="%2."/>
      <w:lvlJc w:val="left"/>
      <w:pPr>
        <w:ind w:left="1440" w:hanging="360"/>
      </w:pPr>
      <w:rPr>
        <w:u w:val="none"/>
      </w:rPr>
    </w:lvl>
    <w:lvl w:ilvl="2" w:tentative="0">
      <w:start w:val="1"/>
      <w:numFmt w:val="lowerRoman"/>
      <w:lvlText w:val="%3."/>
      <w:lvlJc w:val="right"/>
      <w:pPr>
        <w:ind w:left="2160" w:hanging="360"/>
      </w:pPr>
      <w:rPr>
        <w:u w:val="none"/>
      </w:rPr>
    </w:lvl>
    <w:lvl w:ilvl="3" w:tentative="0">
      <w:start w:val="1"/>
      <w:numFmt w:val="decimal"/>
      <w:lvlText w:val="%4."/>
      <w:lvlJc w:val="left"/>
      <w:pPr>
        <w:ind w:left="2880" w:hanging="360"/>
      </w:pPr>
      <w:rPr>
        <w:u w:val="none"/>
      </w:rPr>
    </w:lvl>
    <w:lvl w:ilvl="4" w:tentative="0">
      <w:start w:val="1"/>
      <w:numFmt w:val="lowerLetter"/>
      <w:lvlText w:val="%5."/>
      <w:lvlJc w:val="left"/>
      <w:pPr>
        <w:ind w:left="3600" w:hanging="360"/>
      </w:pPr>
      <w:rPr>
        <w:u w:val="none"/>
      </w:rPr>
    </w:lvl>
    <w:lvl w:ilvl="5" w:tentative="0">
      <w:start w:val="1"/>
      <w:numFmt w:val="lowerRoman"/>
      <w:lvlText w:val="%6."/>
      <w:lvlJc w:val="right"/>
      <w:pPr>
        <w:ind w:left="4320" w:hanging="360"/>
      </w:pPr>
      <w:rPr>
        <w:u w:val="none"/>
      </w:rPr>
    </w:lvl>
    <w:lvl w:ilvl="6" w:tentative="0">
      <w:start w:val="1"/>
      <w:numFmt w:val="decimal"/>
      <w:lvlText w:val="%7."/>
      <w:lvlJc w:val="left"/>
      <w:pPr>
        <w:ind w:left="5040" w:hanging="360"/>
      </w:pPr>
      <w:rPr>
        <w:u w:val="none"/>
      </w:rPr>
    </w:lvl>
    <w:lvl w:ilvl="7" w:tentative="0">
      <w:start w:val="1"/>
      <w:numFmt w:val="lowerLetter"/>
      <w:lvlText w:val="%8."/>
      <w:lvlJc w:val="left"/>
      <w:pPr>
        <w:ind w:left="5760" w:hanging="360"/>
      </w:pPr>
      <w:rPr>
        <w:u w:val="none"/>
      </w:rPr>
    </w:lvl>
    <w:lvl w:ilvl="8" w:tentative="0">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00000000"/>
    <w:rsid w:val="BCDACE24"/>
    <w:rsid w:val="DAFFF8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76" w:lineRule="auto"/>
    </w:pPr>
    <w:rPr>
      <w:rFonts w:ascii="Arial" w:hAnsi="Arial" w:eastAsia="Arial" w:cs="Arial"/>
      <w:sz w:val="22"/>
      <w:szCs w:val="22"/>
      <w:lang w:val="en"/>
    </w:rPr>
  </w:style>
  <w:style w:type="paragraph" w:styleId="2">
    <w:name w:val="heading 1"/>
    <w:basedOn w:val="1"/>
    <w:next w:val="1"/>
    <w:qFormat/>
    <w:uiPriority w:val="0"/>
    <w:pPr>
      <w:keepNext/>
      <w:keepLines/>
      <w:pageBreakBefore w:val="0"/>
      <w:spacing w:before="400" w:after="120"/>
    </w:pPr>
    <w:rPr>
      <w:sz w:val="40"/>
      <w:szCs w:val="40"/>
    </w:rPr>
  </w:style>
  <w:style w:type="paragraph" w:styleId="3">
    <w:name w:val="heading 2"/>
    <w:basedOn w:val="1"/>
    <w:next w:val="1"/>
    <w:uiPriority w:val="0"/>
    <w:pPr>
      <w:keepNext/>
      <w:keepLines/>
      <w:pageBreakBefore w:val="0"/>
      <w:spacing w:before="360" w:after="120"/>
    </w:pPr>
    <w:rPr>
      <w:sz w:val="32"/>
      <w:szCs w:val="32"/>
    </w:rPr>
  </w:style>
  <w:style w:type="paragraph" w:styleId="4">
    <w:name w:val="heading 3"/>
    <w:basedOn w:val="1"/>
    <w:next w:val="1"/>
    <w:qFormat/>
    <w:uiPriority w:val="0"/>
    <w:pPr>
      <w:keepNext/>
      <w:keepLines/>
      <w:pageBreakBefore w:val="0"/>
      <w:spacing w:before="320" w:after="80"/>
    </w:pPr>
    <w:rPr>
      <w:color w:val="434343"/>
      <w:sz w:val="28"/>
      <w:szCs w:val="28"/>
    </w:rPr>
  </w:style>
  <w:style w:type="paragraph" w:styleId="5">
    <w:name w:val="heading 4"/>
    <w:basedOn w:val="1"/>
    <w:next w:val="1"/>
    <w:uiPriority w:val="0"/>
    <w:pPr>
      <w:keepNext/>
      <w:keepLines/>
      <w:pageBreakBefore w:val="0"/>
      <w:spacing w:before="280" w:after="80"/>
    </w:pPr>
    <w:rPr>
      <w:color w:val="666666"/>
      <w:sz w:val="24"/>
      <w:szCs w:val="24"/>
    </w:rPr>
  </w:style>
  <w:style w:type="paragraph" w:styleId="6">
    <w:name w:val="heading 5"/>
    <w:basedOn w:val="1"/>
    <w:next w:val="1"/>
    <w:qFormat/>
    <w:uiPriority w:val="0"/>
    <w:pPr>
      <w:keepNext/>
      <w:keepLines/>
      <w:pageBreakBefore w:val="0"/>
      <w:spacing w:before="240" w:after="80"/>
    </w:pPr>
    <w:rPr>
      <w:color w:val="666666"/>
      <w:sz w:val="22"/>
      <w:szCs w:val="22"/>
    </w:rPr>
  </w:style>
  <w:style w:type="paragraph" w:styleId="7">
    <w:name w:val="heading 6"/>
    <w:basedOn w:val="1"/>
    <w:next w:val="1"/>
    <w:uiPriority w:val="0"/>
    <w:pPr>
      <w:keepNext/>
      <w:keepLines/>
      <w:pageBreakBefore w:val="0"/>
      <w:spacing w:before="240" w:after="80"/>
    </w:pPr>
    <w:rPr>
      <w:i/>
      <w:color w:val="666666"/>
      <w:sz w:val="22"/>
      <w:szCs w:val="22"/>
    </w:rPr>
  </w:style>
  <w:style w:type="character" w:default="1" w:styleId="8">
    <w:name w:val="Default Paragraph Font"/>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pageBreakBefore w:val="0"/>
      <w:spacing w:before="0" w:after="320"/>
    </w:pPr>
    <w:rPr>
      <w:rFonts w:ascii="Arial" w:hAnsi="Arial" w:eastAsia="Arial" w:cs="Arial"/>
      <w:color w:val="666666"/>
      <w:sz w:val="30"/>
      <w:szCs w:val="30"/>
    </w:rPr>
  </w:style>
  <w:style w:type="paragraph" w:styleId="11">
    <w:name w:val="Title"/>
    <w:basedOn w:val="1"/>
    <w:next w:val="1"/>
    <w:qFormat/>
    <w:uiPriority w:val="0"/>
    <w:pPr>
      <w:keepNext/>
      <w:keepLines/>
      <w:pageBreakBefore w:val="0"/>
      <w:spacing w:before="0" w:after="60"/>
    </w:pPr>
    <w:rPr>
      <w:sz w:val="52"/>
      <w:szCs w:val="52"/>
    </w:rPr>
  </w:style>
  <w:style w:type="table" w:customStyle="1" w:styleId="12">
    <w:name w:val="Table Normal1"/>
    <w:qFormat/>
    <w:uiPriority w:val="0"/>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footnotes" Target="footnotes.xml"/><Relationship Id="rId7" Type="http://schemas.openxmlformats.org/officeDocument/2006/relationships/fontTable" Target="fontTable.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5" Type="http://schemas.openxmlformats.org/officeDocument/2006/relationships/theme" Target="theme/theme1.xml"/><Relationship Id="rId10" Type="http://schemas.openxmlformats.org/officeDocument/2006/relationships/customXml" Target="../customXml/item3.xml"/><Relationship Id="rId4" Type="http://schemas.openxmlformats.org/officeDocument/2006/relationships/endnotes" Target="end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E33E74-35D8-451A-889F-7C9406CFCFEB}"/>
</file>

<file path=customXml/itemProps2.xml><?xml version="1.0" encoding="utf-8"?>
<ds:datastoreItem xmlns:ds="http://schemas.openxmlformats.org/officeDocument/2006/customXml" ds:itemID="{3AB01194-D222-4E63-A2CB-427F0483839C}"/>
</file>

<file path=customXml/itemProps3.xml><?xml version="1.0" encoding="utf-8"?>
<ds:datastoreItem xmlns:ds="http://schemas.openxmlformats.org/officeDocument/2006/customXml" ds:itemID="{2237E338-77F0-4B49-A6BA-5B7A337B2862}"/>
</file>

<file path=docProps/app.xml><?xml version="1.0" encoding="utf-8"?>
<Properties xmlns="http://schemas.openxmlformats.org/officeDocument/2006/extended-properties" xmlns:vt="http://schemas.openxmlformats.org/officeDocument/2006/docPropsVTypes">
  <TotalTime>19</TotalTime>
  <ScaleCrop>false</ScaleCrop>
  <LinksUpToDate>false</LinksUpToDate>
  <Application>WPS Office_4.7.0.7770_F1E327BC-269C-435d-A152-05C5408002CA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Tandin Dorji</cp:lastModifiedBy>
  <dcterms:created xsi:type="dcterms:W3CDTF">2022-11-14T17:59:00Z</dcterms:created>
  <dcterms:modified xsi:type="dcterms:W3CDTF">2022-11-15T12:11:01Z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1033-4.7.0.7770</vt:lpwstr>
  </property>
  <property fmtid="{D5CDD505-2E9C-101B-9397-08002B2CF9AE}" pid="3" name="ContentTypeId">
    <vt:lpwstr>0x01010037C5AC3008AAB14799B0F32C039A8199</vt:lpwstr>
  </property>
</Properties>
</file>