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43E8CA21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244AF9">
        <w:rPr>
          <w:rFonts w:ascii="Times New Roman" w:hAnsi="Times New Roman"/>
          <w:b/>
          <w:sz w:val="26"/>
          <w:szCs w:val="26"/>
        </w:rPr>
        <w:t>1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35916974" w:rsidR="00B77CAD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 xml:space="preserve">DE </w:t>
      </w:r>
      <w:r w:rsidR="000B6673">
        <w:rPr>
          <w:rFonts w:ascii="Times New Roman" w:hAnsi="Times New Roman"/>
          <w:b/>
          <w:sz w:val="26"/>
          <w:szCs w:val="26"/>
        </w:rPr>
        <w:t>LA POLOGNE</w:t>
      </w:r>
    </w:p>
    <w:p w14:paraId="0D927220" w14:textId="77777777" w:rsidR="00EF10A4" w:rsidRDefault="00EF10A4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157264C5" w14:textId="3D506D2E" w:rsidR="0072464F" w:rsidRDefault="00EF10A4" w:rsidP="004A3D19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Le </w:t>
      </w:r>
      <w:r w:rsidR="000B6673">
        <w:rPr>
          <w:rFonts w:ascii="Times New Roman" w:hAnsi="Times New Roman"/>
          <w:i/>
        </w:rPr>
        <w:t>16 novembre</w:t>
      </w:r>
      <w:r w:rsidR="00244AF9">
        <w:rPr>
          <w:rFonts w:ascii="Times New Roman" w:hAnsi="Times New Roman"/>
          <w:i/>
        </w:rPr>
        <w:t xml:space="preserve"> 2022</w:t>
      </w:r>
      <w:r>
        <w:rPr>
          <w:rFonts w:ascii="Times New Roman" w:hAnsi="Times New Roman"/>
          <w:i/>
        </w:rPr>
        <w:t xml:space="preserve"> (9h00-12h-30)</w:t>
      </w:r>
    </w:p>
    <w:p w14:paraId="1EB5CAFD" w14:textId="77777777" w:rsidR="00EF10A4" w:rsidRDefault="00EF10A4" w:rsidP="004A3D19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5239226B" w14:textId="33CD4F96" w:rsidR="00EF10A4" w:rsidRPr="00EF10A4" w:rsidRDefault="00AB38FA" w:rsidP="00EF10A4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EF10A4">
        <w:rPr>
          <w:rFonts w:ascii="Times New Roman" w:eastAsia="Times New Roman" w:hAnsi="Times New Roman"/>
          <w:b/>
          <w:iCs/>
          <w:sz w:val="28"/>
          <w:szCs w:val="28"/>
        </w:rPr>
        <w:t>Prononcée par</w:t>
      </w:r>
      <w:r w:rsidR="0072464F" w:rsidRPr="00EF10A4">
        <w:rPr>
          <w:rFonts w:ascii="Times New Roman" w:eastAsia="Times New Roman" w:hAnsi="Times New Roman"/>
          <w:b/>
          <w:iCs/>
          <w:sz w:val="28"/>
          <w:szCs w:val="28"/>
        </w:rPr>
        <w:t> :</w:t>
      </w:r>
      <w:r w:rsidR="00EF10A4" w:rsidRPr="00EF10A4">
        <w:rPr>
          <w:rFonts w:ascii="Times New Roman" w:hAnsi="Times New Roman"/>
          <w:b/>
          <w:iCs/>
        </w:rPr>
        <w:t xml:space="preserve"> </w:t>
      </w:r>
    </w:p>
    <w:p w14:paraId="63B05CCF" w14:textId="74EA3703" w:rsidR="00AB38FA" w:rsidRPr="00A81717" w:rsidRDefault="00AB38FA" w:rsidP="00AB38FA">
      <w:pPr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045AE1E7" w14:textId="02144927" w:rsidR="00706D3A" w:rsidRPr="00A81717" w:rsidRDefault="009223F5" w:rsidP="00AB12BF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0B125618" w:rsidR="0048380C" w:rsidRPr="00A81717" w:rsidRDefault="00BC0A22" w:rsidP="00AB12BF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Hlk23318444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Burkina Faso </w:t>
      </w:r>
      <w:bookmarkEnd w:id="0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souhaite la</w:t>
      </w:r>
      <w:r w:rsidR="002413A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bienvenue à 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la délégation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B6673">
        <w:rPr>
          <w:rFonts w:ascii="Times New Roman" w:hAnsi="Times New Roman"/>
          <w:bCs/>
          <w:color w:val="000000" w:themeColor="text1"/>
          <w:sz w:val="28"/>
          <w:szCs w:val="28"/>
        </w:rPr>
        <w:t>polonaise</w:t>
      </w:r>
      <w:r w:rsidR="00B31D5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et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0E0C71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remercie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1E0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pour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06D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la présentation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d</w:t>
      </w:r>
      <w:r w:rsidR="00B3223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 son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44AF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quatr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ième rapport nationa</w:t>
      </w:r>
      <w:r w:rsidR="0048380C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5A7E5672" w14:textId="0ADBA995" w:rsidR="000920EA" w:rsidRDefault="000920EA" w:rsidP="00AB12BF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0920EA">
        <w:rPr>
          <w:rFonts w:ascii="Times New Roman" w:hAnsi="Times New Roman"/>
          <w:sz w:val="28"/>
          <w:szCs w:val="28"/>
        </w:rPr>
        <w:t xml:space="preserve">Le Burkina Faso salue la coopération </w:t>
      </w:r>
      <w:r>
        <w:rPr>
          <w:rFonts w:ascii="Times New Roman" w:hAnsi="Times New Roman"/>
          <w:sz w:val="28"/>
          <w:szCs w:val="28"/>
        </w:rPr>
        <w:t xml:space="preserve">de la Pologne </w:t>
      </w:r>
      <w:r w:rsidRPr="000920EA">
        <w:rPr>
          <w:rFonts w:ascii="Times New Roman" w:hAnsi="Times New Roman"/>
          <w:sz w:val="28"/>
          <w:szCs w:val="28"/>
        </w:rPr>
        <w:t>avec le Conseil des droits de l’homme et l’ensemble de ses mécanismes, en particulier l’EPU.</w:t>
      </w:r>
    </w:p>
    <w:p w14:paraId="40B15BAE" w14:textId="5D289776" w:rsidR="005E7B47" w:rsidRPr="000920EA" w:rsidRDefault="000920EA" w:rsidP="00AB12BF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cet égard, n</w:t>
      </w:r>
      <w:r w:rsidR="000B6673" w:rsidRPr="000B6673">
        <w:rPr>
          <w:rFonts w:ascii="Times New Roman" w:hAnsi="Times New Roman"/>
          <w:sz w:val="28"/>
          <w:szCs w:val="28"/>
        </w:rPr>
        <w:t xml:space="preserve">ous </w:t>
      </w:r>
      <w:r w:rsidR="006F4E57">
        <w:rPr>
          <w:rFonts w:ascii="Times New Roman" w:hAnsi="Times New Roman"/>
          <w:sz w:val="28"/>
          <w:szCs w:val="28"/>
        </w:rPr>
        <w:t>nous réjouissons d</w:t>
      </w:r>
      <w:r w:rsidR="000B6673" w:rsidRPr="000B6673">
        <w:rPr>
          <w:rFonts w:ascii="Times New Roman" w:hAnsi="Times New Roman"/>
          <w:sz w:val="28"/>
          <w:szCs w:val="28"/>
        </w:rPr>
        <w:t xml:space="preserve">es efforts déployés par la Pologne pour promouvoir et protéger les droits de l’homme dans le pays depuis le cycle </w:t>
      </w:r>
      <w:r w:rsidRPr="000B6673">
        <w:rPr>
          <w:rFonts w:ascii="Times New Roman" w:hAnsi="Times New Roman"/>
          <w:sz w:val="28"/>
          <w:szCs w:val="28"/>
        </w:rPr>
        <w:t>précédant</w:t>
      </w:r>
      <w:r>
        <w:rPr>
          <w:rFonts w:ascii="Times New Roman" w:hAnsi="Times New Roman"/>
          <w:sz w:val="28"/>
          <w:szCs w:val="28"/>
        </w:rPr>
        <w:t>, notamment l’adoption par</w:t>
      </w:r>
      <w:r w:rsidR="000B6673" w:rsidRPr="000B6673">
        <w:rPr>
          <w:rFonts w:ascii="Times New Roman" w:hAnsi="Times New Roman"/>
          <w:sz w:val="28"/>
          <w:szCs w:val="28"/>
        </w:rPr>
        <w:t xml:space="preserve"> l</w:t>
      </w:r>
      <w:r>
        <w:rPr>
          <w:rFonts w:ascii="Times New Roman" w:hAnsi="Times New Roman"/>
          <w:sz w:val="28"/>
          <w:szCs w:val="28"/>
        </w:rPr>
        <w:t>e Gouvernement polonais</w:t>
      </w:r>
      <w:r w:rsidR="000B6673" w:rsidRPr="000B6673">
        <w:rPr>
          <w:rFonts w:ascii="Times New Roman" w:hAnsi="Times New Roman"/>
          <w:sz w:val="28"/>
          <w:szCs w:val="28"/>
        </w:rPr>
        <w:t xml:space="preserve"> du Plan d’action national pour l’égalité de traitement pour la période 2022-2030.</w:t>
      </w:r>
    </w:p>
    <w:p w14:paraId="52D7962A" w14:textId="15B7A13D" w:rsidR="0043083A" w:rsidRPr="005E7B47" w:rsidRDefault="008D7E42" w:rsidP="00AB12BF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E7B47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Tout en </w:t>
      </w:r>
      <w:r w:rsidR="00D8681B" w:rsidRPr="005E7B47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encourage</w:t>
      </w:r>
      <w:r w:rsidRPr="005E7B47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a</w:t>
      </w:r>
      <w:r w:rsidR="00D8681B" w:rsidRPr="005E7B47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n</w:t>
      </w:r>
      <w:r w:rsidRPr="005E7B47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t</w:t>
      </w:r>
      <w:r w:rsidR="00D8681B" w:rsidRPr="005E7B47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 w:rsidR="005E7B47" w:rsidRPr="005E7B47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la Pologne</w:t>
      </w:r>
      <w:r w:rsidR="00D8681B" w:rsidRPr="005E7B47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à </w:t>
      </w:r>
      <w:r w:rsidR="00303543" w:rsidRPr="005E7B47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poursuivre</w:t>
      </w:r>
      <w:r w:rsidR="005E7B47" w:rsidRPr="005E7B47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la formation des professionnels chargés d’identifier les enfants victimes de la traite</w:t>
      </w:r>
      <w:r w:rsidRPr="005E7B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nous lui </w:t>
      </w:r>
      <w:r w:rsidR="002C40E0" w:rsidRPr="005E7B47">
        <w:rPr>
          <w:rFonts w:ascii="Times New Roman" w:hAnsi="Times New Roman"/>
          <w:bCs/>
          <w:color w:val="000000" w:themeColor="text1"/>
          <w:sz w:val="28"/>
          <w:szCs w:val="28"/>
        </w:rPr>
        <w:t>recommand</w:t>
      </w:r>
      <w:r w:rsidRPr="005E7B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ons </w:t>
      </w:r>
      <w:r w:rsidR="0043083A" w:rsidRPr="005E7B47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2756AE33" w14:textId="3522A761" w:rsidR="00642C63" w:rsidRPr="005E7B47" w:rsidRDefault="005E7B47" w:rsidP="00AB12BF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5E7B47">
        <w:rPr>
          <w:rFonts w:ascii="Times New Roman" w:hAnsi="Times New Roman"/>
          <w:sz w:val="28"/>
          <w:szCs w:val="28"/>
        </w:rPr>
        <w:t>d’intensifier ses campagnes publiques afin de combattre les discours de haine, l’incitation à la haine et les crimes de haine</w:t>
      </w:r>
      <w:r w:rsidR="00A81717" w:rsidRPr="005E7B47">
        <w:rPr>
          <w:rFonts w:ascii="Times New Roman" w:hAnsi="Times New Roman"/>
          <w:bCs/>
          <w:sz w:val="28"/>
          <w:szCs w:val="28"/>
        </w:rPr>
        <w:t>;</w:t>
      </w:r>
    </w:p>
    <w:p w14:paraId="663FE85F" w14:textId="6C157E3A" w:rsidR="00642C63" w:rsidRPr="00303543" w:rsidRDefault="006F6D3F" w:rsidP="00AB12BF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6F6D3F">
        <w:rPr>
          <w:rFonts w:ascii="Times New Roman" w:hAnsi="Times New Roman"/>
          <w:bCs/>
          <w:sz w:val="28"/>
          <w:szCs w:val="28"/>
        </w:rPr>
        <w:t>de redoubler d’efforts pour identifier les enfants victimes d’exploitation sexuelle et de traite, en particulier les enfants en situation de vulnérabilité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0CFDBE3" w14:textId="0E56FAF0" w:rsidR="00B3223B" w:rsidRPr="00A81717" w:rsidRDefault="000A3524" w:rsidP="00AB12BF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Cs/>
          <w:sz w:val="28"/>
          <w:szCs w:val="28"/>
        </w:rPr>
        <w:t>N</w:t>
      </w:r>
      <w:r w:rsidR="008C3316" w:rsidRPr="00A81717">
        <w:rPr>
          <w:rFonts w:ascii="Times New Roman" w:hAnsi="Times New Roman"/>
          <w:bCs/>
          <w:sz w:val="28"/>
          <w:szCs w:val="28"/>
        </w:rPr>
        <w:t xml:space="preserve">ous </w:t>
      </w:r>
      <w:r w:rsidR="002413A0" w:rsidRPr="00A81717">
        <w:rPr>
          <w:rFonts w:ascii="Times New Roman" w:hAnsi="Times New Roman"/>
          <w:bCs/>
          <w:sz w:val="28"/>
          <w:szCs w:val="28"/>
        </w:rPr>
        <w:t>souhaitons</w:t>
      </w:r>
      <w:r w:rsidR="008C3316" w:rsidRPr="00A81717">
        <w:rPr>
          <w:rFonts w:ascii="Times New Roman" w:hAnsi="Times New Roman"/>
          <w:bCs/>
          <w:sz w:val="28"/>
          <w:szCs w:val="28"/>
        </w:rPr>
        <w:t xml:space="preserve"> </w:t>
      </w:r>
      <w:r w:rsidR="0013540F" w:rsidRPr="0013540F">
        <w:rPr>
          <w:rFonts w:ascii="Times New Roman" w:hAnsi="Times New Roman"/>
          <w:bCs/>
          <w:sz w:val="28"/>
          <w:szCs w:val="28"/>
        </w:rPr>
        <w:t xml:space="preserve">plein succès </w:t>
      </w:r>
      <w:r w:rsidR="00A81717" w:rsidRPr="00A81717">
        <w:rPr>
          <w:rFonts w:ascii="Times New Roman" w:hAnsi="Times New Roman"/>
          <w:bCs/>
          <w:sz w:val="28"/>
          <w:szCs w:val="28"/>
        </w:rPr>
        <w:t xml:space="preserve">à </w:t>
      </w:r>
      <w:r w:rsidR="000B6673">
        <w:rPr>
          <w:rFonts w:ascii="Times New Roman" w:hAnsi="Times New Roman"/>
          <w:bCs/>
          <w:sz w:val="28"/>
          <w:szCs w:val="28"/>
        </w:rPr>
        <w:t>la Pologne</w:t>
      </w:r>
      <w:r w:rsidR="00A81717" w:rsidRPr="00A81717">
        <w:rPr>
          <w:rFonts w:ascii="Times New Roman" w:hAnsi="Times New Roman"/>
          <w:bCs/>
          <w:sz w:val="28"/>
          <w:szCs w:val="28"/>
        </w:rPr>
        <w:t xml:space="preserve"> </w:t>
      </w:r>
      <w:r w:rsidR="0013540F" w:rsidRPr="0013540F">
        <w:rPr>
          <w:rFonts w:ascii="Times New Roman" w:hAnsi="Times New Roman"/>
          <w:bCs/>
          <w:sz w:val="28"/>
          <w:szCs w:val="28"/>
        </w:rPr>
        <w:t>à l’occasion de cet examen.</w:t>
      </w:r>
    </w:p>
    <w:p w14:paraId="61D432C4" w14:textId="24974BB0" w:rsidR="001E409E" w:rsidRPr="00A81717" w:rsidRDefault="00706D3A" w:rsidP="00AB12BF">
      <w:pPr>
        <w:spacing w:before="240" w:after="240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Je vous remercie</w:t>
      </w:r>
      <w:r w:rsidR="00B3223B" w:rsidRPr="00A81717">
        <w:rPr>
          <w:rFonts w:ascii="Times New Roman" w:hAnsi="Times New Roman"/>
          <w:b/>
          <w:sz w:val="28"/>
          <w:szCs w:val="28"/>
        </w:rPr>
        <w:t>.</w:t>
      </w:r>
    </w:p>
    <w:sectPr w:rsidR="001E409E" w:rsidRPr="00A8171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A13A" w14:textId="77777777" w:rsidR="002A69D9" w:rsidRDefault="002A69D9" w:rsidP="005D1246">
      <w:pPr>
        <w:spacing w:after="0" w:line="240" w:lineRule="auto"/>
      </w:pPr>
      <w:r>
        <w:separator/>
      </w:r>
    </w:p>
  </w:endnote>
  <w:endnote w:type="continuationSeparator" w:id="0">
    <w:p w14:paraId="3F7738AA" w14:textId="77777777" w:rsidR="002A69D9" w:rsidRDefault="002A69D9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B17E" w14:textId="77777777" w:rsidR="002A69D9" w:rsidRDefault="002A69D9" w:rsidP="005D1246">
      <w:pPr>
        <w:spacing w:after="0" w:line="240" w:lineRule="auto"/>
      </w:pPr>
      <w:r>
        <w:separator/>
      </w:r>
    </w:p>
  </w:footnote>
  <w:footnote w:type="continuationSeparator" w:id="0">
    <w:p w14:paraId="6985A99D" w14:textId="77777777" w:rsidR="002A69D9" w:rsidRDefault="002A69D9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10B84"/>
    <w:rsid w:val="00022F75"/>
    <w:rsid w:val="00026E55"/>
    <w:rsid w:val="000354BF"/>
    <w:rsid w:val="000920EA"/>
    <w:rsid w:val="000956E1"/>
    <w:rsid w:val="000A3524"/>
    <w:rsid w:val="000B46C6"/>
    <w:rsid w:val="000B6673"/>
    <w:rsid w:val="000E0C71"/>
    <w:rsid w:val="000F7DD9"/>
    <w:rsid w:val="00112281"/>
    <w:rsid w:val="00131AC2"/>
    <w:rsid w:val="0013540F"/>
    <w:rsid w:val="001E409E"/>
    <w:rsid w:val="001E5BE2"/>
    <w:rsid w:val="002008BB"/>
    <w:rsid w:val="00216F67"/>
    <w:rsid w:val="00225300"/>
    <w:rsid w:val="002413A0"/>
    <w:rsid w:val="00243630"/>
    <w:rsid w:val="00244AF9"/>
    <w:rsid w:val="00264146"/>
    <w:rsid w:val="00265CED"/>
    <w:rsid w:val="002663C3"/>
    <w:rsid w:val="002A69D9"/>
    <w:rsid w:val="002B475B"/>
    <w:rsid w:val="002C354E"/>
    <w:rsid w:val="002C40E0"/>
    <w:rsid w:val="00303543"/>
    <w:rsid w:val="00311874"/>
    <w:rsid w:val="00313229"/>
    <w:rsid w:val="00353FE4"/>
    <w:rsid w:val="003D331F"/>
    <w:rsid w:val="004042B8"/>
    <w:rsid w:val="0043083A"/>
    <w:rsid w:val="00460113"/>
    <w:rsid w:val="00481941"/>
    <w:rsid w:val="0048380C"/>
    <w:rsid w:val="004848AE"/>
    <w:rsid w:val="004A3D19"/>
    <w:rsid w:val="004B38F4"/>
    <w:rsid w:val="004E16CB"/>
    <w:rsid w:val="004F1F49"/>
    <w:rsid w:val="00511E0E"/>
    <w:rsid w:val="005139F0"/>
    <w:rsid w:val="005757FC"/>
    <w:rsid w:val="00587A1C"/>
    <w:rsid w:val="005D1246"/>
    <w:rsid w:val="005E034B"/>
    <w:rsid w:val="005E7B47"/>
    <w:rsid w:val="0063777D"/>
    <w:rsid w:val="00642C63"/>
    <w:rsid w:val="006561CC"/>
    <w:rsid w:val="00661F8A"/>
    <w:rsid w:val="0069190C"/>
    <w:rsid w:val="00691A52"/>
    <w:rsid w:val="00695901"/>
    <w:rsid w:val="00697FE4"/>
    <w:rsid w:val="006A6E95"/>
    <w:rsid w:val="006B1927"/>
    <w:rsid w:val="006D42B4"/>
    <w:rsid w:val="006D5800"/>
    <w:rsid w:val="006F4E57"/>
    <w:rsid w:val="006F6D3F"/>
    <w:rsid w:val="00706D3A"/>
    <w:rsid w:val="0072464F"/>
    <w:rsid w:val="0076693F"/>
    <w:rsid w:val="00783C55"/>
    <w:rsid w:val="007B7525"/>
    <w:rsid w:val="007D35E7"/>
    <w:rsid w:val="007D5DA6"/>
    <w:rsid w:val="007E7808"/>
    <w:rsid w:val="00807DE8"/>
    <w:rsid w:val="0081092B"/>
    <w:rsid w:val="00897A72"/>
    <w:rsid w:val="008B4CE2"/>
    <w:rsid w:val="008C3316"/>
    <w:rsid w:val="008D7E42"/>
    <w:rsid w:val="008F4421"/>
    <w:rsid w:val="009223F5"/>
    <w:rsid w:val="0093466D"/>
    <w:rsid w:val="00951539"/>
    <w:rsid w:val="0098770C"/>
    <w:rsid w:val="009A02E1"/>
    <w:rsid w:val="009A4B12"/>
    <w:rsid w:val="00A435F4"/>
    <w:rsid w:val="00A81717"/>
    <w:rsid w:val="00AB12BF"/>
    <w:rsid w:val="00AB38FA"/>
    <w:rsid w:val="00AB3D85"/>
    <w:rsid w:val="00AF074B"/>
    <w:rsid w:val="00AF552E"/>
    <w:rsid w:val="00B06EEC"/>
    <w:rsid w:val="00B12D9B"/>
    <w:rsid w:val="00B22AD5"/>
    <w:rsid w:val="00B31D59"/>
    <w:rsid w:val="00B3223B"/>
    <w:rsid w:val="00B77CAD"/>
    <w:rsid w:val="00BB0706"/>
    <w:rsid w:val="00BC0A22"/>
    <w:rsid w:val="00BF3E69"/>
    <w:rsid w:val="00C418CD"/>
    <w:rsid w:val="00C54E06"/>
    <w:rsid w:val="00C61C72"/>
    <w:rsid w:val="00CB4C6D"/>
    <w:rsid w:val="00CC031B"/>
    <w:rsid w:val="00D27789"/>
    <w:rsid w:val="00D4670E"/>
    <w:rsid w:val="00D55A2B"/>
    <w:rsid w:val="00D74F2A"/>
    <w:rsid w:val="00D8681B"/>
    <w:rsid w:val="00D9606B"/>
    <w:rsid w:val="00DE6821"/>
    <w:rsid w:val="00DE6C21"/>
    <w:rsid w:val="00E0045E"/>
    <w:rsid w:val="00E11B6D"/>
    <w:rsid w:val="00E1446A"/>
    <w:rsid w:val="00E5756D"/>
    <w:rsid w:val="00EA3090"/>
    <w:rsid w:val="00EA36BE"/>
    <w:rsid w:val="00EE00E9"/>
    <w:rsid w:val="00EF10A4"/>
    <w:rsid w:val="00F33BBC"/>
    <w:rsid w:val="00F61E00"/>
    <w:rsid w:val="00F72874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7E80C-19C5-4424-B4E4-61FB6F8AE59A}"/>
</file>

<file path=customXml/itemProps2.xml><?xml version="1.0" encoding="utf-8"?>
<ds:datastoreItem xmlns:ds="http://schemas.openxmlformats.org/officeDocument/2006/customXml" ds:itemID="{661DCA02-3DC2-4F5A-BF50-AB4BA548DA50}"/>
</file>

<file path=customXml/itemProps3.xml><?xml version="1.0" encoding="utf-8"?>
<ds:datastoreItem xmlns:ds="http://schemas.openxmlformats.org/officeDocument/2006/customXml" ds:itemID="{B532C603-914D-44EB-9E4F-C3ED04F01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Ambassade Mission Burkina Faso</cp:lastModifiedBy>
  <cp:revision>47</cp:revision>
  <cp:lastPrinted>2022-11-12T14:43:00Z</cp:lastPrinted>
  <dcterms:created xsi:type="dcterms:W3CDTF">2014-10-16T13:42:00Z</dcterms:created>
  <dcterms:modified xsi:type="dcterms:W3CDTF">2022-11-12T14:52:00Z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