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4152" w14:textId="24092858" w:rsid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E5D86A6" w14:textId="5A9B3FEC" w:rsidR="00FD0A39" w:rsidRPr="00FD0A39" w:rsidRDefault="00FD0A39" w:rsidP="005934A9">
      <w:pPr>
        <w:spacing w:after="0"/>
        <w:rPr>
          <w:rFonts w:ascii="Candara" w:hAnsi="Candara"/>
          <w:b/>
          <w:i/>
          <w:iCs/>
          <w:sz w:val="24"/>
          <w:szCs w:val="24"/>
          <w:lang w:val="en-US"/>
        </w:rPr>
      </w:pPr>
      <w:r>
        <w:rPr>
          <w:rFonts w:ascii="Candara" w:hAnsi="Candara"/>
          <w:b/>
          <w:i/>
          <w:iCs/>
          <w:sz w:val="24"/>
          <w:szCs w:val="24"/>
          <w:lang w:val="en-US"/>
        </w:rPr>
        <w:t>Ambassador Neocleous</w:t>
      </w:r>
    </w:p>
    <w:p w14:paraId="57BE5AF8" w14:textId="3D0FD91E" w:rsidR="005934A9" w:rsidRDefault="00FD0A3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15</w:t>
      </w:r>
      <w:r w:rsidR="000C4773">
        <w:rPr>
          <w:rFonts w:ascii="Candara" w:hAnsi="Candara"/>
          <w:b/>
          <w:sz w:val="24"/>
          <w:szCs w:val="24"/>
          <w:lang w:val="en-US"/>
        </w:rPr>
        <w:t xml:space="preserve"> November 2022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14.30-18.00</w:t>
      </w:r>
    </w:p>
    <w:p w14:paraId="0E014559" w14:textId="77777777" w:rsidR="000C4773" w:rsidRPr="005934A9" w:rsidRDefault="000C4773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CB4C7D7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7E636495" w14:textId="77777777" w:rsidR="005934A9" w:rsidRPr="005934A9" w:rsidRDefault="005934A9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5934A9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4616B465" w14:textId="5C2500E8" w:rsidR="005934A9" w:rsidRPr="005934A9" w:rsidRDefault="00A40C01" w:rsidP="00D71067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41</w:t>
      </w:r>
      <w:r w:rsidRPr="00A40C01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934A9" w:rsidRPr="005934A9">
        <w:rPr>
          <w:rFonts w:ascii="Candara" w:hAnsi="Candara"/>
          <w:b/>
          <w:sz w:val="24"/>
          <w:szCs w:val="24"/>
          <w:lang w:val="en-US"/>
        </w:rPr>
        <w:t>Session</w:t>
      </w:r>
    </w:p>
    <w:p w14:paraId="701361BA" w14:textId="77777777" w:rsidR="005934A9" w:rsidRPr="005934A9" w:rsidRDefault="005934A9" w:rsidP="005934A9">
      <w:pPr>
        <w:spacing w:after="0"/>
        <w:rPr>
          <w:rFonts w:ascii="Candara" w:hAnsi="Candara"/>
          <w:b/>
          <w:sz w:val="24"/>
          <w:szCs w:val="24"/>
          <w:lang w:val="en-US"/>
        </w:rPr>
      </w:pPr>
    </w:p>
    <w:p w14:paraId="32991103" w14:textId="2EA3226D" w:rsidR="005934A9" w:rsidRPr="00FD0A39" w:rsidRDefault="00FD0A39" w:rsidP="005934A9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THE KINGDOM OF THE NETHERLANDS</w:t>
      </w:r>
    </w:p>
    <w:p w14:paraId="4220158A" w14:textId="77777777" w:rsidR="000C4773" w:rsidRDefault="000C4773" w:rsidP="005934A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738B1D3B" w14:textId="77777777" w:rsidR="00FD0A39" w:rsidRPr="00FD0A39" w:rsidRDefault="00FD0A39" w:rsidP="00FD0A3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Mr. President,</w:t>
      </w:r>
    </w:p>
    <w:p w14:paraId="3AED53AD" w14:textId="77777777" w:rsidR="00FD0A39" w:rsidRPr="00FD0A39" w:rsidRDefault="00FD0A39" w:rsidP="00FD0A3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3DAFD569" w14:textId="7242AD04" w:rsid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Cyprus welcomes the participation of the Delegation from the Kingdom of the Netherlands at today’s UPR, as well as the presentation of its Report.</w:t>
      </w:r>
    </w:p>
    <w:p w14:paraId="02F479A1" w14:textId="77777777" w:rsidR="00FD0A39" w:rsidRP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1D9AF483" w14:textId="06C1BC88" w:rsid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Cyprus notes with satisfaction the Netherlands’ strong commitment to promoting and protecting human rights, and commen</w:t>
      </w:r>
      <w:r>
        <w:rPr>
          <w:rFonts w:ascii="Candara" w:hAnsi="Candara"/>
          <w:bCs/>
          <w:sz w:val="24"/>
          <w:szCs w:val="24"/>
          <w:lang w:val="en-US"/>
        </w:rPr>
        <w:t>d</w:t>
      </w:r>
      <w:r w:rsidRPr="00FD0A39">
        <w:rPr>
          <w:rFonts w:ascii="Candara" w:hAnsi="Candara"/>
          <w:bCs/>
          <w:sz w:val="24"/>
          <w:szCs w:val="24"/>
          <w:lang w:val="en-US"/>
        </w:rPr>
        <w:t>s its authorities for the concrete measures it has undertaken since the previous review, including the appointment of a National Coordinator against Discrimination and Racism, and the formulation of guidelines for a more gender-sensitive approach to domestic violence and sexual harassment.</w:t>
      </w:r>
    </w:p>
    <w:p w14:paraId="3B725501" w14:textId="77777777" w:rsidR="00FD0A39" w:rsidRP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CA3177C" w14:textId="77EABCAC" w:rsid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Cyprus wishes to make the following recommendations:</w:t>
      </w:r>
    </w:p>
    <w:p w14:paraId="0355129E" w14:textId="77777777" w:rsidR="00FD0A39" w:rsidRPr="00FD0A39" w:rsidRDefault="00FD0A39" w:rsidP="00FD0A39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77C8DE57" w14:textId="21864B2A" w:rsidR="00FD0A39" w:rsidRPr="00FD0A39" w:rsidRDefault="00FD0A39" w:rsidP="00FD0A39">
      <w:pPr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Ratify the optional protocols to the ICESCR</w:t>
      </w:r>
      <w:r w:rsidR="002A0D39" w:rsidRPr="002A0D39">
        <w:rPr>
          <w:rFonts w:ascii="Candara" w:hAnsi="Candara"/>
          <w:bCs/>
          <w:sz w:val="24"/>
          <w:szCs w:val="24"/>
          <w:lang w:val="en-US"/>
        </w:rPr>
        <w:t xml:space="preserve"> </w:t>
      </w:r>
      <w:r w:rsidR="002A0D39" w:rsidRPr="00FD0A39">
        <w:rPr>
          <w:rFonts w:ascii="Candara" w:hAnsi="Candara"/>
          <w:bCs/>
          <w:sz w:val="24"/>
          <w:szCs w:val="24"/>
          <w:lang w:val="en-US"/>
        </w:rPr>
        <w:t>and the CRPD</w:t>
      </w:r>
      <w:r w:rsidRPr="00FD0A39">
        <w:rPr>
          <w:rFonts w:ascii="Candara" w:hAnsi="Candara"/>
          <w:bCs/>
          <w:sz w:val="24"/>
          <w:szCs w:val="24"/>
          <w:lang w:val="en-US"/>
        </w:rPr>
        <w:t>,</w:t>
      </w:r>
      <w:r w:rsidR="002A0D39">
        <w:rPr>
          <w:rFonts w:ascii="Candara" w:hAnsi="Candara"/>
          <w:bCs/>
          <w:sz w:val="24"/>
          <w:szCs w:val="24"/>
          <w:lang w:val="en-US"/>
        </w:rPr>
        <w:t xml:space="preserve"> as well as the Optional Protocol on a Communications Procedure of the CRC</w:t>
      </w:r>
      <w:r w:rsidRPr="00FD0A39">
        <w:rPr>
          <w:rFonts w:ascii="Candara" w:hAnsi="Candara"/>
          <w:bCs/>
          <w:sz w:val="24"/>
          <w:szCs w:val="24"/>
          <w:lang w:val="en-US"/>
        </w:rPr>
        <w:t xml:space="preserve">; </w:t>
      </w:r>
    </w:p>
    <w:p w14:paraId="700697D4" w14:textId="7434FA9A" w:rsidR="00FD0A39" w:rsidRPr="00FD0A39" w:rsidRDefault="00FD0A39" w:rsidP="00FD0A39">
      <w:pPr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 xml:space="preserve">Monitor the effectiveness of recent measures taken to address racial discrimination and bias in law, policy and practice; </w:t>
      </w:r>
    </w:p>
    <w:p w14:paraId="47FB9355" w14:textId="2BDF7AF5" w:rsidR="00FD0A39" w:rsidRPr="00FD0A39" w:rsidRDefault="00FD0A39" w:rsidP="00FD0A39">
      <w:pPr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Bring the legal definition of rape in line with international human rights law, including the Istanbul Convention</w:t>
      </w:r>
      <w:r w:rsidR="001E00B3">
        <w:rPr>
          <w:rFonts w:ascii="Candara" w:hAnsi="Candara"/>
          <w:bCs/>
          <w:sz w:val="24"/>
          <w:szCs w:val="24"/>
          <w:lang w:val="en-US"/>
        </w:rPr>
        <w:t xml:space="preserve"> in all four constituent countries</w:t>
      </w:r>
      <w:r w:rsidRPr="00FD0A39">
        <w:rPr>
          <w:rFonts w:ascii="Candara" w:hAnsi="Candara"/>
          <w:bCs/>
          <w:sz w:val="24"/>
          <w:szCs w:val="24"/>
          <w:lang w:val="en-US"/>
        </w:rPr>
        <w:t>;</w:t>
      </w:r>
    </w:p>
    <w:p w14:paraId="194FEC56" w14:textId="77777777" w:rsidR="00FD0A39" w:rsidRPr="00FD0A39" w:rsidRDefault="00FD0A39" w:rsidP="00FD0A39">
      <w:pPr>
        <w:numPr>
          <w:ilvl w:val="0"/>
          <w:numId w:val="13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>Implement the guidelines for a more gender-sensitive approach to domestic violence and sexual harassment.</w:t>
      </w:r>
    </w:p>
    <w:p w14:paraId="2A2A6B85" w14:textId="77777777" w:rsidR="00FD0A39" w:rsidRPr="00FD0A39" w:rsidRDefault="00FD0A39" w:rsidP="00FD0A39">
      <w:pPr>
        <w:spacing w:after="0"/>
        <w:rPr>
          <w:rFonts w:ascii="Candara" w:hAnsi="Candara"/>
          <w:bCs/>
          <w:sz w:val="24"/>
          <w:szCs w:val="24"/>
          <w:lang w:val="en-US"/>
        </w:rPr>
      </w:pPr>
    </w:p>
    <w:p w14:paraId="386BA3B6" w14:textId="77777777" w:rsidR="00FD0A39" w:rsidRPr="00FD0A39" w:rsidRDefault="00FD0A39" w:rsidP="00FD0A39">
      <w:pPr>
        <w:spacing w:after="0"/>
        <w:rPr>
          <w:rFonts w:ascii="Candara" w:hAnsi="Candara"/>
          <w:bCs/>
          <w:sz w:val="24"/>
          <w:szCs w:val="24"/>
          <w:lang w:val="en-US"/>
        </w:rPr>
      </w:pPr>
      <w:r w:rsidRPr="00FD0A39">
        <w:rPr>
          <w:rFonts w:ascii="Candara" w:hAnsi="Candara"/>
          <w:bCs/>
          <w:sz w:val="24"/>
          <w:szCs w:val="24"/>
          <w:lang w:val="en-US"/>
        </w:rPr>
        <w:t xml:space="preserve">Thank you. </w:t>
      </w:r>
    </w:p>
    <w:p w14:paraId="4E559BC8" w14:textId="614D74EA" w:rsidR="000E5D61" w:rsidRPr="005934A9" w:rsidRDefault="000E5D61" w:rsidP="00FD0A39">
      <w:pPr>
        <w:spacing w:after="0"/>
        <w:rPr>
          <w:bCs/>
        </w:rPr>
      </w:pPr>
    </w:p>
    <w:sectPr w:rsidR="000E5D61" w:rsidRPr="005934A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360D" w14:textId="77777777" w:rsidR="00B16AAE" w:rsidRDefault="00B16AAE" w:rsidP="00E966E5">
      <w:pPr>
        <w:spacing w:after="0" w:line="240" w:lineRule="auto"/>
      </w:pPr>
      <w:r>
        <w:separator/>
      </w:r>
    </w:p>
  </w:endnote>
  <w:endnote w:type="continuationSeparator" w:id="0">
    <w:p w14:paraId="2E9671C2" w14:textId="77777777" w:rsidR="00B16AAE" w:rsidRDefault="00B16AAE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DD57" w14:textId="77777777" w:rsidR="00B16AAE" w:rsidRDefault="00B16AAE" w:rsidP="00E966E5">
      <w:pPr>
        <w:spacing w:after="0" w:line="240" w:lineRule="auto"/>
      </w:pPr>
      <w:r>
        <w:separator/>
      </w:r>
    </w:p>
  </w:footnote>
  <w:footnote w:type="continuationSeparator" w:id="0">
    <w:p w14:paraId="4BF99CAD" w14:textId="77777777" w:rsidR="00B16AAE" w:rsidRDefault="00B16AAE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C0361"/>
    <w:multiLevelType w:val="hybridMultilevel"/>
    <w:tmpl w:val="65E45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D1D50"/>
    <w:multiLevelType w:val="hybridMultilevel"/>
    <w:tmpl w:val="7BE6870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67F64"/>
    <w:rsid w:val="000861BA"/>
    <w:rsid w:val="00086B83"/>
    <w:rsid w:val="000C4773"/>
    <w:rsid w:val="000D5C03"/>
    <w:rsid w:val="000E5D61"/>
    <w:rsid w:val="000F2399"/>
    <w:rsid w:val="000F5054"/>
    <w:rsid w:val="00106A43"/>
    <w:rsid w:val="001177AA"/>
    <w:rsid w:val="00121D4C"/>
    <w:rsid w:val="00130B9E"/>
    <w:rsid w:val="00137FA9"/>
    <w:rsid w:val="00147EF1"/>
    <w:rsid w:val="00157AB3"/>
    <w:rsid w:val="001740D2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D47AD"/>
    <w:rsid w:val="001D7DFA"/>
    <w:rsid w:val="001E00B3"/>
    <w:rsid w:val="001E76EB"/>
    <w:rsid w:val="0022429D"/>
    <w:rsid w:val="0022519B"/>
    <w:rsid w:val="002275D8"/>
    <w:rsid w:val="00241DAD"/>
    <w:rsid w:val="002626A4"/>
    <w:rsid w:val="0026387B"/>
    <w:rsid w:val="00286047"/>
    <w:rsid w:val="00286888"/>
    <w:rsid w:val="00291DD8"/>
    <w:rsid w:val="002A0D39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334BA"/>
    <w:rsid w:val="00335770"/>
    <w:rsid w:val="0035545D"/>
    <w:rsid w:val="00374599"/>
    <w:rsid w:val="00376750"/>
    <w:rsid w:val="00376AB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146E"/>
    <w:rsid w:val="0048431C"/>
    <w:rsid w:val="004A0722"/>
    <w:rsid w:val="004B3603"/>
    <w:rsid w:val="004C574D"/>
    <w:rsid w:val="004F3CA7"/>
    <w:rsid w:val="0050484D"/>
    <w:rsid w:val="005164F8"/>
    <w:rsid w:val="005325EB"/>
    <w:rsid w:val="00541A59"/>
    <w:rsid w:val="00542A37"/>
    <w:rsid w:val="005529AB"/>
    <w:rsid w:val="00564E2D"/>
    <w:rsid w:val="005654D8"/>
    <w:rsid w:val="00566B3C"/>
    <w:rsid w:val="00566E8A"/>
    <w:rsid w:val="005670BA"/>
    <w:rsid w:val="00587CAE"/>
    <w:rsid w:val="005934A9"/>
    <w:rsid w:val="005A1F2F"/>
    <w:rsid w:val="005A790F"/>
    <w:rsid w:val="005B171C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AAC"/>
    <w:rsid w:val="00646E2F"/>
    <w:rsid w:val="0065719F"/>
    <w:rsid w:val="006660A5"/>
    <w:rsid w:val="00675E1B"/>
    <w:rsid w:val="00685682"/>
    <w:rsid w:val="006B4C95"/>
    <w:rsid w:val="006C0D36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1D8C"/>
    <w:rsid w:val="00762B9B"/>
    <w:rsid w:val="00766F83"/>
    <w:rsid w:val="00785AD5"/>
    <w:rsid w:val="00790CCD"/>
    <w:rsid w:val="00794862"/>
    <w:rsid w:val="00796565"/>
    <w:rsid w:val="007A7A5E"/>
    <w:rsid w:val="00801621"/>
    <w:rsid w:val="0081062E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48C6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3C04"/>
    <w:rsid w:val="009449FC"/>
    <w:rsid w:val="00974D9E"/>
    <w:rsid w:val="009A1175"/>
    <w:rsid w:val="009B0B79"/>
    <w:rsid w:val="009C33F3"/>
    <w:rsid w:val="009C3E1A"/>
    <w:rsid w:val="009C48E6"/>
    <w:rsid w:val="009D04E1"/>
    <w:rsid w:val="009D3315"/>
    <w:rsid w:val="009D4161"/>
    <w:rsid w:val="009F56EF"/>
    <w:rsid w:val="00A020A7"/>
    <w:rsid w:val="00A02AA9"/>
    <w:rsid w:val="00A04713"/>
    <w:rsid w:val="00A06BEF"/>
    <w:rsid w:val="00A0780C"/>
    <w:rsid w:val="00A20976"/>
    <w:rsid w:val="00A229F8"/>
    <w:rsid w:val="00A251C3"/>
    <w:rsid w:val="00A33C9B"/>
    <w:rsid w:val="00A37D8F"/>
    <w:rsid w:val="00A40C01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AF5854"/>
    <w:rsid w:val="00B05E92"/>
    <w:rsid w:val="00B06185"/>
    <w:rsid w:val="00B16AAE"/>
    <w:rsid w:val="00B24DED"/>
    <w:rsid w:val="00B27644"/>
    <w:rsid w:val="00B36BBE"/>
    <w:rsid w:val="00B41EC5"/>
    <w:rsid w:val="00B46447"/>
    <w:rsid w:val="00B56D68"/>
    <w:rsid w:val="00B64C66"/>
    <w:rsid w:val="00B73E53"/>
    <w:rsid w:val="00B83483"/>
    <w:rsid w:val="00BC0976"/>
    <w:rsid w:val="00BD1D8C"/>
    <w:rsid w:val="00BD35E1"/>
    <w:rsid w:val="00BF5785"/>
    <w:rsid w:val="00C07ACA"/>
    <w:rsid w:val="00C304D9"/>
    <w:rsid w:val="00C37C8F"/>
    <w:rsid w:val="00C41D31"/>
    <w:rsid w:val="00C75B3B"/>
    <w:rsid w:val="00C81ED6"/>
    <w:rsid w:val="00C83270"/>
    <w:rsid w:val="00C870F6"/>
    <w:rsid w:val="00C96927"/>
    <w:rsid w:val="00CC08C5"/>
    <w:rsid w:val="00D2037F"/>
    <w:rsid w:val="00D55EB5"/>
    <w:rsid w:val="00D71067"/>
    <w:rsid w:val="00D7458C"/>
    <w:rsid w:val="00D75A15"/>
    <w:rsid w:val="00D83543"/>
    <w:rsid w:val="00D874A1"/>
    <w:rsid w:val="00D9289F"/>
    <w:rsid w:val="00D9337F"/>
    <w:rsid w:val="00DA26CA"/>
    <w:rsid w:val="00DB773D"/>
    <w:rsid w:val="00DE634C"/>
    <w:rsid w:val="00DE71F4"/>
    <w:rsid w:val="00DE7A9F"/>
    <w:rsid w:val="00DF2931"/>
    <w:rsid w:val="00DF32D7"/>
    <w:rsid w:val="00E01404"/>
    <w:rsid w:val="00E0375D"/>
    <w:rsid w:val="00E1303E"/>
    <w:rsid w:val="00E137E4"/>
    <w:rsid w:val="00E20431"/>
    <w:rsid w:val="00E2680A"/>
    <w:rsid w:val="00E56874"/>
    <w:rsid w:val="00E57D47"/>
    <w:rsid w:val="00E61190"/>
    <w:rsid w:val="00E80902"/>
    <w:rsid w:val="00E822E6"/>
    <w:rsid w:val="00E82DA9"/>
    <w:rsid w:val="00E850E4"/>
    <w:rsid w:val="00E966E5"/>
    <w:rsid w:val="00EA161D"/>
    <w:rsid w:val="00EB0E0E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paragraph" w:styleId="FootnoteText">
    <w:name w:val="footnote text"/>
    <w:basedOn w:val="Normal"/>
    <w:link w:val="FootnoteTextChar"/>
    <w:uiPriority w:val="99"/>
    <w:semiHidden/>
    <w:unhideWhenUsed/>
    <w:rsid w:val="00810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39155-A910-4855-ABDA-8182F3475483}"/>
</file>

<file path=customXml/itemProps2.xml><?xml version="1.0" encoding="utf-8"?>
<ds:datastoreItem xmlns:ds="http://schemas.openxmlformats.org/officeDocument/2006/customXml" ds:itemID="{50A37715-67C2-41C0-919C-8B3C5D403AD7}"/>
</file>

<file path=customXml/itemProps3.xml><?xml version="1.0" encoding="utf-8"?>
<ds:datastoreItem xmlns:ds="http://schemas.openxmlformats.org/officeDocument/2006/customXml" ds:itemID="{866C6E05-4A70-4080-89E0-E6798FC78D69}"/>
</file>

<file path=customXml/itemProps4.xml><?xml version="1.0" encoding="utf-8"?>
<ds:datastoreItem xmlns:ds="http://schemas.openxmlformats.org/officeDocument/2006/customXml" ds:itemID="{EA6E9907-E98D-4E19-A4CE-EB4F23406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athina kanti</cp:lastModifiedBy>
  <cp:revision>2</cp:revision>
  <cp:lastPrinted>2021-01-15T10:39:00Z</cp:lastPrinted>
  <dcterms:created xsi:type="dcterms:W3CDTF">2022-11-11T15:53:00Z</dcterms:created>
  <dcterms:modified xsi:type="dcterms:W3CDTF">2022-11-11T15:53:00Z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