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2F8" w14:textId="77777777" w:rsidR="00EF6E5D" w:rsidRPr="00F83A32" w:rsidRDefault="00EF6E5D" w:rsidP="00E138F4">
      <w:pPr>
        <w:spacing w:line="276" w:lineRule="auto"/>
        <w:ind w:hanging="142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456004C4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41</w:t>
      </w:r>
      <w:r w:rsidRPr="00D27D36">
        <w:rPr>
          <w:rFonts w:ascii="Cambria" w:hAnsi="Cambria" w:cstheme="majorHAnsi"/>
          <w:b/>
          <w:bCs/>
          <w:sz w:val="28"/>
          <w:szCs w:val="28"/>
          <w:vertAlign w:val="superscript"/>
        </w:rPr>
        <w:t>st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Session of the UPR</w:t>
      </w:r>
      <w:r w:rsidR="002F726F" w:rsidRPr="00BB26A7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 xml:space="preserve"> Working Group</w:t>
      </w:r>
    </w:p>
    <w:p w14:paraId="16FA86B0" w14:textId="5D8833D8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6F55CB6B" w:rsidR="00EF6E5D" w:rsidRPr="00BB26A7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8"/>
          <w:szCs w:val="28"/>
          <w:lang w:val="en-US"/>
        </w:rPr>
      </w:pPr>
      <w:r w:rsidRPr="00BB26A7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 xml:space="preserve"> on </w:t>
      </w:r>
      <w:r w:rsidR="002F726F" w:rsidRPr="00BB26A7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>the Review of T</w:t>
      </w:r>
      <w:r w:rsidRPr="00BB26A7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>u</w:t>
      </w:r>
      <w:r w:rsidR="002F726F" w:rsidRPr="00BB26A7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>nisia</w:t>
      </w:r>
      <w:r w:rsidRPr="00BB26A7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 xml:space="preserve"> </w:t>
      </w:r>
    </w:p>
    <w:p w14:paraId="3F0C8DD1" w14:textId="13274DF8" w:rsidR="00EF6E5D" w:rsidRPr="00D27D36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(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08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November 2022, 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9</w:t>
      </w:r>
      <w:r w:rsidRPr="00D27D36">
        <w:rPr>
          <w:rFonts w:ascii="Cambria" w:hAnsi="Cambria" w:cstheme="majorHAnsi"/>
          <w:b/>
          <w:bCs/>
          <w:sz w:val="28"/>
          <w:szCs w:val="28"/>
        </w:rPr>
        <w:t>.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00-12.30</w:t>
      </w:r>
      <w:r w:rsidRPr="00D27D36">
        <w:rPr>
          <w:rFonts w:ascii="Cambria" w:hAnsi="Cambria" w:cstheme="majorHAnsi"/>
          <w:b/>
          <w:bCs/>
          <w:sz w:val="28"/>
          <w:szCs w:val="28"/>
        </w:rPr>
        <w:t>)</w:t>
      </w:r>
    </w:p>
    <w:p w14:paraId="116DF30D" w14:textId="77777777" w:rsidR="00EF6E5D" w:rsidRDefault="00EF6E5D" w:rsidP="001F23F1">
      <w:pPr>
        <w:jc w:val="both"/>
        <w:rPr>
          <w:sz w:val="28"/>
          <w:szCs w:val="28"/>
          <w:lang w:val="en-US"/>
        </w:rPr>
      </w:pPr>
    </w:p>
    <w:p w14:paraId="35C14E75" w14:textId="317D784F" w:rsidR="00D27D36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 xml:space="preserve">Mr. </w:t>
      </w:r>
      <w:r w:rsidR="006B3A40">
        <w:rPr>
          <w:sz w:val="28"/>
          <w:szCs w:val="28"/>
          <w:lang w:val="en-US"/>
        </w:rPr>
        <w:t>Vice-</w:t>
      </w:r>
      <w:r w:rsidRPr="001F23F1">
        <w:rPr>
          <w:sz w:val="28"/>
          <w:szCs w:val="28"/>
          <w:lang w:val="en-US"/>
        </w:rPr>
        <w:t>President,</w:t>
      </w:r>
    </w:p>
    <w:p w14:paraId="649DA706" w14:textId="4E1A02CB" w:rsidR="00E30C6C" w:rsidRPr="001F23F1" w:rsidRDefault="008D2A78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Bangladesh welcomes the </w:t>
      </w:r>
      <w:r w:rsidR="00E30C6C" w:rsidRPr="001F23F1">
        <w:rPr>
          <w:sz w:val="28"/>
          <w:szCs w:val="28"/>
          <w:lang w:val="en-US"/>
        </w:rPr>
        <w:t xml:space="preserve">delegation of </w:t>
      </w:r>
      <w:r w:rsidR="00991013">
        <w:rPr>
          <w:sz w:val="28"/>
          <w:szCs w:val="28"/>
          <w:lang w:val="en-US"/>
        </w:rPr>
        <w:t>Tunisia</w:t>
      </w:r>
      <w:r w:rsidR="00E30C6C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the </w:t>
      </w:r>
      <w:r w:rsidR="00D27D36">
        <w:rPr>
          <w:sz w:val="28"/>
          <w:szCs w:val="28"/>
          <w:lang w:val="en-US"/>
        </w:rPr>
        <w:t>4</w:t>
      </w:r>
      <w:r w:rsidR="00D27D36" w:rsidRPr="00D27D36">
        <w:rPr>
          <w:sz w:val="28"/>
          <w:szCs w:val="28"/>
          <w:vertAlign w:val="superscript"/>
          <w:lang w:val="en-US"/>
        </w:rPr>
        <w:t>th</w:t>
      </w:r>
      <w:r w:rsidR="00D27D36">
        <w:rPr>
          <w:sz w:val="28"/>
          <w:szCs w:val="28"/>
          <w:lang w:val="en-US"/>
        </w:rPr>
        <w:t xml:space="preserve"> cycle of </w:t>
      </w:r>
      <w:r>
        <w:rPr>
          <w:sz w:val="28"/>
          <w:szCs w:val="28"/>
          <w:lang w:val="en-US"/>
        </w:rPr>
        <w:t xml:space="preserve">UPR. </w:t>
      </w:r>
    </w:p>
    <w:p w14:paraId="38F2E77E" w14:textId="6F1F8DFA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D27D36">
        <w:rPr>
          <w:sz w:val="28"/>
          <w:szCs w:val="28"/>
          <w:lang w:val="en-US"/>
        </w:rPr>
        <w:t>acknowledg</w:t>
      </w:r>
      <w:r>
        <w:rPr>
          <w:sz w:val="28"/>
          <w:szCs w:val="28"/>
          <w:lang w:val="en-US"/>
        </w:rPr>
        <w:t>e</w:t>
      </w:r>
      <w:r w:rsidR="00E30C6C" w:rsidRPr="001F23F1">
        <w:rPr>
          <w:sz w:val="28"/>
          <w:szCs w:val="28"/>
          <w:lang w:val="en-US"/>
        </w:rPr>
        <w:t xml:space="preserve"> the </w:t>
      </w:r>
      <w:r w:rsidR="00991013">
        <w:rPr>
          <w:sz w:val="28"/>
          <w:szCs w:val="28"/>
          <w:lang w:val="en-US"/>
        </w:rPr>
        <w:t>valuable progress</w:t>
      </w:r>
      <w:r w:rsidR="00E30C6C" w:rsidRPr="001F23F1">
        <w:rPr>
          <w:sz w:val="28"/>
          <w:szCs w:val="28"/>
          <w:lang w:val="en-US"/>
        </w:rPr>
        <w:t xml:space="preserve"> made</w:t>
      </w:r>
      <w:r>
        <w:rPr>
          <w:sz w:val="28"/>
          <w:szCs w:val="28"/>
          <w:lang w:val="en-US"/>
        </w:rPr>
        <w:t xml:space="preserve"> </w:t>
      </w:r>
      <w:r w:rsidR="00991013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Tunisia</w:t>
      </w:r>
      <w:r w:rsidR="00991013">
        <w:rPr>
          <w:sz w:val="28"/>
          <w:szCs w:val="28"/>
          <w:lang w:val="en-US"/>
        </w:rPr>
        <w:t xml:space="preserve"> in the</w:t>
      </w:r>
      <w:r w:rsidR="00E30C6C" w:rsidRPr="001F23F1">
        <w:rPr>
          <w:sz w:val="28"/>
          <w:szCs w:val="28"/>
          <w:lang w:val="en-US"/>
        </w:rPr>
        <w:t xml:space="preserve"> </w:t>
      </w:r>
      <w:r w:rsidR="00D27D36">
        <w:rPr>
          <w:sz w:val="28"/>
          <w:szCs w:val="28"/>
          <w:lang w:val="en-US"/>
        </w:rPr>
        <w:t>promotion and protection of</w:t>
      </w:r>
      <w:r w:rsidR="00991013">
        <w:rPr>
          <w:sz w:val="28"/>
          <w:szCs w:val="28"/>
          <w:lang w:val="en-US"/>
        </w:rPr>
        <w:t xml:space="preserve"> </w:t>
      </w:r>
      <w:r w:rsidR="00991013" w:rsidRPr="001F23F1">
        <w:rPr>
          <w:sz w:val="28"/>
          <w:szCs w:val="28"/>
          <w:lang w:val="en-US"/>
        </w:rPr>
        <w:t>human rights</w:t>
      </w:r>
      <w:r w:rsidR="00CB759E">
        <w:rPr>
          <w:sz w:val="28"/>
          <w:szCs w:val="28"/>
          <w:lang w:val="en-US"/>
        </w:rPr>
        <w:t xml:space="preserve">. We </w:t>
      </w:r>
      <w:r w:rsidR="00991013">
        <w:rPr>
          <w:sz w:val="28"/>
          <w:szCs w:val="28"/>
          <w:lang w:val="en-US"/>
        </w:rPr>
        <w:t xml:space="preserve">particularly </w:t>
      </w:r>
      <w:r w:rsidR="00CB759E">
        <w:rPr>
          <w:sz w:val="28"/>
          <w:szCs w:val="28"/>
          <w:lang w:val="en-US"/>
        </w:rPr>
        <w:t>highlight</w:t>
      </w:r>
      <w:r w:rsidR="00991013">
        <w:rPr>
          <w:sz w:val="28"/>
          <w:szCs w:val="28"/>
          <w:lang w:val="en-US"/>
        </w:rPr>
        <w:t xml:space="preserve"> the robust programs </w:t>
      </w:r>
      <w:r w:rsidR="00AF7145">
        <w:rPr>
          <w:sz w:val="28"/>
          <w:szCs w:val="28"/>
          <w:lang w:val="en-US"/>
        </w:rPr>
        <w:t xml:space="preserve">undertaken </w:t>
      </w:r>
      <w:r w:rsidR="00E30C6C" w:rsidRPr="001F23F1">
        <w:rPr>
          <w:sz w:val="28"/>
          <w:szCs w:val="28"/>
          <w:lang w:val="en-US"/>
        </w:rPr>
        <w:t>to</w:t>
      </w:r>
      <w:r w:rsidR="00991013">
        <w:rPr>
          <w:sz w:val="28"/>
          <w:szCs w:val="28"/>
          <w:lang w:val="en-US"/>
        </w:rPr>
        <w:t xml:space="preserve"> comb</w:t>
      </w:r>
      <w:r w:rsidR="001B5531">
        <w:rPr>
          <w:sz w:val="28"/>
          <w:szCs w:val="28"/>
          <w:lang w:val="en-US"/>
        </w:rPr>
        <w:t>at extremism among young people. The</w:t>
      </w:r>
      <w:r w:rsidR="00D27D36">
        <w:rPr>
          <w:sz w:val="28"/>
          <w:szCs w:val="28"/>
          <w:lang w:val="en-US"/>
        </w:rPr>
        <w:t xml:space="preserve"> adoption of legislative amendment</w:t>
      </w:r>
      <w:r w:rsidR="00312975" w:rsidRPr="001F23F1">
        <w:rPr>
          <w:sz w:val="28"/>
          <w:szCs w:val="28"/>
          <w:lang w:val="en-US"/>
        </w:rPr>
        <w:t xml:space="preserve"> </w:t>
      </w:r>
      <w:r w:rsidR="00F47DF3">
        <w:rPr>
          <w:sz w:val="28"/>
          <w:szCs w:val="28"/>
          <w:lang w:val="en-US"/>
        </w:rPr>
        <w:t>aiming</w:t>
      </w:r>
      <w:r w:rsidR="00D27D36">
        <w:rPr>
          <w:sz w:val="28"/>
          <w:szCs w:val="28"/>
          <w:lang w:val="en-US"/>
        </w:rPr>
        <w:t xml:space="preserve"> </w:t>
      </w:r>
      <w:r w:rsidR="00F47DF3">
        <w:rPr>
          <w:sz w:val="28"/>
          <w:szCs w:val="28"/>
          <w:lang w:val="en-US"/>
        </w:rPr>
        <w:t>at</w:t>
      </w:r>
      <w:r w:rsidR="00312975" w:rsidRPr="001F23F1">
        <w:rPr>
          <w:sz w:val="28"/>
          <w:szCs w:val="28"/>
          <w:lang w:val="en-US"/>
        </w:rPr>
        <w:t xml:space="preserve"> </w:t>
      </w:r>
      <w:r w:rsidR="00F47DF3">
        <w:rPr>
          <w:sz w:val="28"/>
          <w:szCs w:val="28"/>
          <w:lang w:val="en-US"/>
        </w:rPr>
        <w:t>reducing</w:t>
      </w:r>
      <w:r w:rsidR="00D27D36">
        <w:rPr>
          <w:sz w:val="28"/>
          <w:szCs w:val="28"/>
          <w:lang w:val="en-US"/>
        </w:rPr>
        <w:t xml:space="preserve"> g</w:t>
      </w:r>
      <w:r w:rsidR="00312975" w:rsidRPr="001F23F1">
        <w:rPr>
          <w:sz w:val="28"/>
          <w:szCs w:val="28"/>
          <w:lang w:val="en-US"/>
        </w:rPr>
        <w:t>e</w:t>
      </w:r>
      <w:r w:rsidR="00D27D36">
        <w:rPr>
          <w:sz w:val="28"/>
          <w:szCs w:val="28"/>
          <w:lang w:val="en-US"/>
        </w:rPr>
        <w:t>nder</w:t>
      </w:r>
      <w:r w:rsidR="00E138F4">
        <w:rPr>
          <w:sz w:val="28"/>
          <w:szCs w:val="28"/>
          <w:lang w:val="en-US"/>
        </w:rPr>
        <w:t>-</w:t>
      </w:r>
      <w:r w:rsidR="00D27D36">
        <w:rPr>
          <w:sz w:val="28"/>
          <w:szCs w:val="28"/>
          <w:lang w:val="en-US"/>
        </w:rPr>
        <w:t>based violence</w:t>
      </w:r>
      <w:r w:rsidR="00F47DF3">
        <w:rPr>
          <w:sz w:val="28"/>
          <w:szCs w:val="28"/>
          <w:lang w:val="en-US"/>
        </w:rPr>
        <w:t xml:space="preserve"> is a laudable step towards gender parity</w:t>
      </w:r>
      <w:r w:rsidR="00312975" w:rsidRPr="001F23F1">
        <w:rPr>
          <w:sz w:val="28"/>
          <w:szCs w:val="28"/>
          <w:lang w:val="en-US"/>
        </w:rPr>
        <w:t xml:space="preserve">. </w:t>
      </w:r>
      <w:r w:rsidR="00E02801">
        <w:rPr>
          <w:sz w:val="28"/>
          <w:szCs w:val="28"/>
          <w:lang w:val="en-US"/>
        </w:rPr>
        <w:t xml:space="preserve">We are happy to see Tunisia gradually undertaking more pluralistic policies in political, social and economic domains. </w:t>
      </w:r>
    </w:p>
    <w:p w14:paraId="5328F397" w14:textId="3F576F04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conclusion,</w:t>
      </w:r>
      <w:r w:rsidR="00D27D36">
        <w:rPr>
          <w:sz w:val="28"/>
          <w:szCs w:val="28"/>
          <w:lang w:val="en-US"/>
        </w:rPr>
        <w:t xml:space="preserve"> Bangladesh</w:t>
      </w:r>
      <w:r w:rsidR="00312975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recommends the following</w:t>
      </w:r>
      <w:r w:rsidR="00312975" w:rsidRPr="001F23F1">
        <w:rPr>
          <w:sz w:val="28"/>
          <w:szCs w:val="28"/>
          <w:lang w:val="en-US"/>
        </w:rPr>
        <w:t>:</w:t>
      </w:r>
    </w:p>
    <w:p w14:paraId="270D1ACE" w14:textId="28605F2B" w:rsidR="00312975" w:rsidRDefault="00312975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 xml:space="preserve">Strengthening means to </w:t>
      </w:r>
      <w:r w:rsidR="00D27D36">
        <w:rPr>
          <w:sz w:val="28"/>
          <w:szCs w:val="28"/>
          <w:lang w:val="en-US"/>
        </w:rPr>
        <w:t xml:space="preserve">ensure free universal primary education and access to </w:t>
      </w:r>
      <w:r w:rsidR="00CB759E">
        <w:rPr>
          <w:sz w:val="28"/>
          <w:szCs w:val="28"/>
          <w:lang w:val="en-US"/>
        </w:rPr>
        <w:t xml:space="preserve">safe </w:t>
      </w:r>
      <w:r w:rsidR="00D27D36">
        <w:rPr>
          <w:sz w:val="28"/>
          <w:szCs w:val="28"/>
          <w:lang w:val="en-US"/>
        </w:rPr>
        <w:t>drinking water</w:t>
      </w:r>
      <w:r w:rsidRPr="001F23F1">
        <w:rPr>
          <w:sz w:val="28"/>
          <w:szCs w:val="28"/>
          <w:lang w:val="en-US"/>
        </w:rPr>
        <w:t>;</w:t>
      </w:r>
    </w:p>
    <w:p w14:paraId="1408E961" w14:textId="6E6DCD4E" w:rsidR="00991013" w:rsidRDefault="00991013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Ratify</w:t>
      </w:r>
      <w:r w:rsidR="00CB759E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the International Convention on the Protection of the Rights of All Migrant Workers and Members of Their Families.</w:t>
      </w:r>
    </w:p>
    <w:p w14:paraId="056A26D8" w14:textId="4B8422A2" w:rsidR="00E138F4" w:rsidRDefault="00E138F4" w:rsidP="00E138F4">
      <w:pPr>
        <w:pStyle w:val="ListParagraph"/>
        <w:jc w:val="both"/>
        <w:rPr>
          <w:sz w:val="28"/>
          <w:szCs w:val="28"/>
          <w:lang w:val="en-US"/>
        </w:rPr>
      </w:pPr>
    </w:p>
    <w:p w14:paraId="27318E8C" w14:textId="14B46E76" w:rsidR="00E138F4" w:rsidRPr="001F23F1" w:rsidRDefault="00E138F4" w:rsidP="00E138F4">
      <w:pPr>
        <w:pStyle w:val="ListParagraph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We wish a very successful review to the Tunisian delegation.</w:t>
      </w:r>
    </w:p>
    <w:p w14:paraId="46E1FAFB" w14:textId="0DFCFDE4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p w14:paraId="28574A88" w14:textId="56167AD3" w:rsidR="00F47DF3" w:rsidRPr="00EF6E5D" w:rsidRDefault="00F47DF3" w:rsidP="00EF6E5D">
      <w:pPr>
        <w:jc w:val="both"/>
        <w:rPr>
          <w:sz w:val="28"/>
          <w:szCs w:val="28"/>
          <w:lang w:val="en-US"/>
        </w:rPr>
      </w:pPr>
    </w:p>
    <w:sectPr w:rsidR="00F47DF3" w:rsidRPr="00EF6E5D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6C"/>
    <w:rsid w:val="001B5531"/>
    <w:rsid w:val="001F23F1"/>
    <w:rsid w:val="002F726F"/>
    <w:rsid w:val="00312975"/>
    <w:rsid w:val="00341385"/>
    <w:rsid w:val="006B3A40"/>
    <w:rsid w:val="008D2A78"/>
    <w:rsid w:val="00991013"/>
    <w:rsid w:val="00AF7145"/>
    <w:rsid w:val="00B75423"/>
    <w:rsid w:val="00BB26A7"/>
    <w:rsid w:val="00CB759E"/>
    <w:rsid w:val="00D27D36"/>
    <w:rsid w:val="00E02801"/>
    <w:rsid w:val="00E138F4"/>
    <w:rsid w:val="00E30C6C"/>
    <w:rsid w:val="00EF6E5D"/>
    <w:rsid w:val="00F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  <w15:docId w15:val="{47D1D99F-A964-47F8-A2CF-AAB076C3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A50A-C7B6-4455-AEDD-22D95C952E13}"/>
</file>

<file path=customXml/itemProps2.xml><?xml version="1.0" encoding="utf-8"?>
<ds:datastoreItem xmlns:ds="http://schemas.openxmlformats.org/officeDocument/2006/customXml" ds:itemID="{1D43361A-FFDB-4FDE-9A58-7543144C0AAC}"/>
</file>

<file path=customXml/itemProps3.xml><?xml version="1.0" encoding="utf-8"?>
<ds:datastoreItem xmlns:ds="http://schemas.openxmlformats.org/officeDocument/2006/customXml" ds:itemID="{C83F8418-0217-487E-BCE0-CD75A1140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Abdullah Al Forhad</cp:lastModifiedBy>
  <cp:revision>14</cp:revision>
  <dcterms:created xsi:type="dcterms:W3CDTF">2022-11-04T17:04:00Z</dcterms:created>
  <dcterms:modified xsi:type="dcterms:W3CDTF">2022-11-08T09:21:00Z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