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6B3487F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1018B3C5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>
        <w:rPr>
          <w:rFonts w:ascii="Cambria" w:hAnsi="Cambria" w:cstheme="minorHAnsi"/>
          <w:b/>
          <w:bCs/>
          <w:sz w:val="26"/>
          <w:szCs w:val="26"/>
        </w:rPr>
        <w:t xml:space="preserve">Bahrain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1A4EFA93" w14:textId="076A1A14" w:rsidR="00B2043F" w:rsidRPr="00B71E8F" w:rsidRDefault="009226F0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07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November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2022, 9:00 – 12:30 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1A7B0B3B" w14:textId="75E0B09E" w:rsidR="00B2043F" w:rsidRPr="006E6B20" w:rsidRDefault="00B2043F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  <w:r w:rsidRPr="006E6B20">
        <w:rPr>
          <w:rFonts w:ascii="Cambria" w:hAnsi="Cambria" w:cstheme="minorHAnsi"/>
          <w:sz w:val="26"/>
          <w:szCs w:val="26"/>
        </w:rPr>
        <w:t>Mr. President,</w:t>
      </w:r>
    </w:p>
    <w:p w14:paraId="7D6AA973" w14:textId="77777777" w:rsidR="00B2043F" w:rsidRPr="006E6B20" w:rsidRDefault="00B2043F" w:rsidP="00B2043F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</w:p>
    <w:p w14:paraId="7FF3AADE" w14:textId="30F958E8" w:rsidR="00B2043F" w:rsidRPr="006E6B20" w:rsidRDefault="00B2043F" w:rsidP="00B2043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="003D6D88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warmly 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welcomes the distinguished delegation of </w:t>
      </w:r>
      <w:r w:rsidR="006D4810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Bahrain</w:t>
      </w:r>
      <w:r w:rsidR="003D6D88" w:rsidRPr="006E6B20">
        <w:rPr>
          <w:rFonts w:ascii="Cambria" w:hAnsi="Cambria" w:cs="Arial"/>
          <w:sz w:val="26"/>
          <w:szCs w:val="26"/>
          <w:shd w:val="clear" w:color="auto" w:fill="FFFFFF"/>
        </w:rPr>
        <w:t xml:space="preserve"> and </w:t>
      </w:r>
      <w:r w:rsidR="00F970DD" w:rsidRPr="006E6B20">
        <w:rPr>
          <w:rFonts w:ascii="Cambria" w:hAnsi="Cambria" w:cs="Arial"/>
          <w:sz w:val="26"/>
          <w:szCs w:val="26"/>
          <w:shd w:val="clear" w:color="auto" w:fill="FFFFFF"/>
        </w:rPr>
        <w:t>thanks them for the comprehensive presentation.</w:t>
      </w:r>
    </w:p>
    <w:p w14:paraId="41EEFDDC" w14:textId="77777777" w:rsidR="00B2043F" w:rsidRPr="006E6B20" w:rsidRDefault="00B2043F" w:rsidP="00B2043F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31C42F6C" w14:textId="3694656A" w:rsidR="00AA6320" w:rsidRDefault="00CF7BB7" w:rsidP="00292D4E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  <w:r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Banglades</w:t>
      </w:r>
      <w:r w:rsidR="00BE757C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h</w:t>
      </w:r>
      <w:r w:rsidR="008316C8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appreciate</w:t>
      </w:r>
      <w:r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s</w:t>
      </w:r>
      <w:r w:rsidR="008316C8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the progress made by Bahrain in implementing the recommendations of its previous UPR. </w:t>
      </w:r>
      <w:r w:rsidR="00292D4E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We commend Bahrain’s cooperation with the UN human rights mechanisms, including submission of various human rights treaty body reports.</w:t>
      </w:r>
      <w:r w:rsidR="00292D4E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303AB5" w:rsidRPr="00552441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We</w:t>
      </w:r>
      <w:r w:rsidR="008B02D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also</w:t>
      </w:r>
      <w:r w:rsidR="00303AB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welcome the adoption of</w:t>
      </w:r>
      <w:r w:rsidR="007E32D7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</w:t>
      </w:r>
      <w:r w:rsidR="002428A2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Bahrain’s</w:t>
      </w:r>
      <w:r w:rsidR="00303AB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National Human Rights Plan 2022-2026</w:t>
      </w:r>
      <w:r w:rsidR="003D47B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to strengthen </w:t>
      </w:r>
      <w:r w:rsidR="003D47B9" w:rsidRPr="000E013A">
        <w:rPr>
          <w:rFonts w:ascii="Cambria" w:hAnsi="Cambria" w:cstheme="minorHAnsi"/>
          <w:sz w:val="26"/>
          <w:szCs w:val="26"/>
        </w:rPr>
        <w:t>human rights framework</w:t>
      </w:r>
      <w:r w:rsidR="00F45BBD">
        <w:rPr>
          <w:rFonts w:ascii="Cambria" w:hAnsi="Cambria" w:cstheme="minorHAnsi"/>
          <w:sz w:val="26"/>
          <w:szCs w:val="26"/>
        </w:rPr>
        <w:t xml:space="preserve">. </w:t>
      </w:r>
      <w:r w:rsidR="008316C8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Bahrain’s initiative to implement Human rights curricula in </w:t>
      </w:r>
      <w:r w:rsidR="00747542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educati</w:t>
      </w:r>
      <w:r w:rsidR="00897369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onal institutions and </w:t>
      </w:r>
      <w:r w:rsidR="00B60618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law enforcement </w:t>
      </w:r>
      <w:r w:rsidR="007B14E3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personnel’s </w:t>
      </w:r>
      <w:r w:rsidR="00340E7A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training</w:t>
      </w:r>
      <w:r w:rsidR="008316C8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is a positive step. </w:t>
      </w:r>
    </w:p>
    <w:p w14:paraId="24A52132" w14:textId="77777777" w:rsidR="007B14E3" w:rsidRPr="006E6B20" w:rsidRDefault="007B14E3" w:rsidP="007B14E3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488A53F0" w14:textId="2AE674D3" w:rsidR="00D73DE2" w:rsidRPr="00B97984" w:rsidRDefault="00B2043F" w:rsidP="000D26B4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In the spirit of cooperation, Bangladesh makes the following recommendations to </w:t>
      </w:r>
      <w:r w:rsidR="00AB7B3A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Bahrain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7935B63D" w14:textId="77777777" w:rsidR="003463A5" w:rsidRPr="006E6B20" w:rsidRDefault="003463A5" w:rsidP="003463A5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Cambria" w:hAnsi="Cambria"/>
          <w:color w:val="0E101A"/>
          <w:sz w:val="26"/>
          <w:szCs w:val="26"/>
          <w:lang w:val="en-CH"/>
        </w:rPr>
      </w:pPr>
    </w:p>
    <w:p w14:paraId="5EE051E9" w14:textId="13C5DB48" w:rsidR="00B97984" w:rsidRPr="007A4A8D" w:rsidRDefault="00C33E75" w:rsidP="00D315AC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C33E75">
        <w:rPr>
          <w:rFonts w:ascii="Cambria" w:hAnsi="Cambria"/>
          <w:color w:val="0E101A"/>
          <w:sz w:val="26"/>
          <w:szCs w:val="26"/>
          <w:lang w:val="en-CH"/>
        </w:rPr>
        <w:t xml:space="preserve">Continue to </w:t>
      </w:r>
      <w:r w:rsidR="00B97984">
        <w:rPr>
          <w:rFonts w:ascii="Cambria" w:hAnsi="Cambria"/>
          <w:color w:val="0E101A"/>
          <w:sz w:val="26"/>
          <w:szCs w:val="26"/>
        </w:rPr>
        <w:t xml:space="preserve">protect the rights of </w:t>
      </w:r>
      <w:r w:rsidR="00B97984" w:rsidRPr="00B97984">
        <w:rPr>
          <w:rFonts w:ascii="Cambria" w:hAnsi="Cambria"/>
          <w:color w:val="0E101A"/>
          <w:sz w:val="26"/>
          <w:szCs w:val="26"/>
        </w:rPr>
        <w:t>foreign workers, particularly female migrant workers</w:t>
      </w:r>
      <w:r w:rsidR="00AF4416">
        <w:rPr>
          <w:rFonts w:ascii="Cambria" w:hAnsi="Cambria"/>
          <w:color w:val="0E101A"/>
          <w:sz w:val="26"/>
          <w:szCs w:val="26"/>
        </w:rPr>
        <w:t>,</w:t>
      </w:r>
      <w:r w:rsidR="00D2783E">
        <w:rPr>
          <w:rFonts w:ascii="Cambria" w:hAnsi="Cambria"/>
          <w:color w:val="0E101A"/>
          <w:sz w:val="26"/>
          <w:szCs w:val="26"/>
        </w:rPr>
        <w:t xml:space="preserve"> to ensure equal treatment for them</w:t>
      </w:r>
      <w:r w:rsidR="000D0D61">
        <w:rPr>
          <w:rFonts w:ascii="Cambria" w:hAnsi="Cambria"/>
          <w:color w:val="0E101A"/>
          <w:sz w:val="26"/>
          <w:szCs w:val="26"/>
        </w:rPr>
        <w:t>;</w:t>
      </w:r>
    </w:p>
    <w:p w14:paraId="5FBEDEC6" w14:textId="77777777" w:rsidR="007A4A8D" w:rsidRDefault="007A4A8D" w:rsidP="007A4A8D">
      <w:pPr>
        <w:pStyle w:val="NormalWeb"/>
        <w:spacing w:before="0" w:beforeAutospacing="0" w:after="0" w:afterAutospacing="0" w:line="276" w:lineRule="auto"/>
        <w:ind w:left="851"/>
        <w:jc w:val="both"/>
        <w:rPr>
          <w:rFonts w:ascii="Cambria" w:hAnsi="Cambria"/>
          <w:color w:val="0E101A"/>
          <w:sz w:val="26"/>
          <w:szCs w:val="26"/>
          <w:lang w:val="en-CH"/>
        </w:rPr>
      </w:pPr>
    </w:p>
    <w:p w14:paraId="7F9C03F5" w14:textId="7567A513" w:rsidR="001501E8" w:rsidRPr="006E6B20" w:rsidRDefault="00024AE4" w:rsidP="001501E8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851" w:hanging="567"/>
        <w:jc w:val="both"/>
        <w:rPr>
          <w:rFonts w:ascii="Cambria" w:hAnsi="Cambria"/>
          <w:color w:val="0E101A"/>
          <w:sz w:val="26"/>
          <w:szCs w:val="26"/>
          <w:lang w:val="en-CH"/>
        </w:rPr>
      </w:pPr>
      <w:r>
        <w:rPr>
          <w:rFonts w:ascii="Cambria" w:hAnsi="Cambria"/>
          <w:color w:val="0E101A"/>
          <w:sz w:val="26"/>
          <w:szCs w:val="26"/>
        </w:rPr>
        <w:t>Step up its efforts</w:t>
      </w:r>
      <w:r w:rsidR="001501E8" w:rsidRPr="003462CD">
        <w:rPr>
          <w:rFonts w:ascii="Cambria" w:hAnsi="Cambria"/>
          <w:color w:val="0E101A"/>
          <w:sz w:val="26"/>
          <w:szCs w:val="26"/>
          <w:lang w:val="en-CH"/>
        </w:rPr>
        <w:t xml:space="preserve"> to strengthen policies and programmes for empowerment of women in accordance with its socio-cultural ethos.</w:t>
      </w:r>
    </w:p>
    <w:p w14:paraId="76681BFC" w14:textId="77777777" w:rsidR="00B2043F" w:rsidRPr="006E6B20" w:rsidRDefault="00B2043F" w:rsidP="00B2043F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130699CC" w14:textId="71880E60" w:rsidR="00B2043F" w:rsidRPr="006E6B20" w:rsidRDefault="00B2043F" w:rsidP="00B2043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the delegation of </w:t>
      </w:r>
      <w:r w:rsidR="00C30848"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Bahrain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success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review.</w:t>
      </w:r>
    </w:p>
    <w:p w14:paraId="7F46D556" w14:textId="77777777" w:rsidR="00B2043F" w:rsidRPr="006E6B20" w:rsidRDefault="00B2043F" w:rsidP="00B2043F">
      <w:pPr>
        <w:spacing w:after="0" w:line="276" w:lineRule="auto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 </w:t>
      </w:r>
    </w:p>
    <w:p w14:paraId="707FF64C" w14:textId="5DC4750F" w:rsidR="00B2043F" w:rsidRPr="006E6B20" w:rsidRDefault="00B2043F" w:rsidP="00704A3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6E6B20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 </w:t>
      </w:r>
    </w:p>
    <w:p w14:paraId="21C7394A" w14:textId="3697D329" w:rsidR="000E013A" w:rsidRPr="006E6B20" w:rsidRDefault="00B2043F" w:rsidP="00704A31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6E6B20">
        <w:rPr>
          <w:rFonts w:ascii="Cambria" w:hAnsi="Cambria" w:cstheme="minorHAnsi"/>
          <w:b/>
          <w:sz w:val="26"/>
          <w:szCs w:val="26"/>
        </w:rPr>
        <w:t>****</w:t>
      </w:r>
    </w:p>
    <w:p w14:paraId="5705A938" w14:textId="77777777" w:rsidR="000E013A" w:rsidRPr="006E6B20" w:rsidRDefault="000E013A" w:rsidP="00B2043F">
      <w:pPr>
        <w:pStyle w:val="NoSpacing"/>
        <w:spacing w:line="276" w:lineRule="auto"/>
        <w:jc w:val="both"/>
        <w:rPr>
          <w:rFonts w:ascii="Cambria" w:hAnsi="Cambria" w:cstheme="minorHAnsi"/>
          <w:b/>
          <w:sz w:val="26"/>
          <w:szCs w:val="26"/>
        </w:rPr>
      </w:pPr>
    </w:p>
    <w:p w14:paraId="167DEE3D" w14:textId="28A80B3E" w:rsidR="00B2043F" w:rsidRPr="006E6B20" w:rsidRDefault="00B2043F" w:rsidP="00B2043F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  <w:r w:rsidRPr="006E6B20">
        <w:rPr>
          <w:rFonts w:ascii="Cambria" w:hAnsi="Cambria" w:cstheme="minorHAnsi"/>
          <w:b/>
          <w:bCs/>
          <w:i/>
          <w:iCs/>
          <w:sz w:val="26"/>
          <w:szCs w:val="26"/>
        </w:rPr>
        <w:t>Time: 1 minute 20 seconds</w:t>
      </w:r>
    </w:p>
    <w:p w14:paraId="567DFC21" w14:textId="2BCBF213" w:rsidR="00390850" w:rsidRPr="006E6B20" w:rsidRDefault="00B2043F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  <w:r w:rsidRPr="006E6B20">
        <w:rPr>
          <w:rFonts w:ascii="Cambria" w:hAnsi="Cambria" w:cstheme="minorHAnsi"/>
          <w:b/>
          <w:bCs/>
          <w:i/>
          <w:iCs/>
          <w:sz w:val="26"/>
          <w:szCs w:val="26"/>
        </w:rPr>
        <w:t>Word Count: 1</w:t>
      </w:r>
      <w:r w:rsidR="00C908FE">
        <w:rPr>
          <w:rFonts w:ascii="Cambria" w:hAnsi="Cambria" w:cstheme="minorHAnsi"/>
          <w:b/>
          <w:bCs/>
          <w:i/>
          <w:iCs/>
          <w:sz w:val="26"/>
          <w:szCs w:val="26"/>
        </w:rPr>
        <w:t>51</w:t>
      </w:r>
    </w:p>
    <w:p w14:paraId="10D3C185" w14:textId="5EC6F7EA" w:rsidR="0048066A" w:rsidRPr="006E6B20" w:rsidRDefault="0048066A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  <w:r w:rsidRPr="006E6B20">
        <w:rPr>
          <w:rFonts w:ascii="Cambria" w:hAnsi="Cambria" w:cstheme="minorHAnsi"/>
          <w:b/>
          <w:bCs/>
          <w:i/>
          <w:iCs/>
          <w:sz w:val="26"/>
          <w:szCs w:val="26"/>
        </w:rPr>
        <w:t>Speaking Slot: 13</w:t>
      </w:r>
    </w:p>
    <w:p w14:paraId="33DC753A" w14:textId="77777777" w:rsidR="000E013A" w:rsidRDefault="000E013A" w:rsidP="000E013A">
      <w:pPr>
        <w:pStyle w:val="NoSpacing"/>
        <w:spacing w:line="276" w:lineRule="auto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sectPr w:rsidR="000E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8298">
    <w:abstractNumId w:val="1"/>
  </w:num>
  <w:num w:numId="2" w16cid:durableId="929194612">
    <w:abstractNumId w:val="3"/>
  </w:num>
  <w:num w:numId="3" w16cid:durableId="2124955319">
    <w:abstractNumId w:val="2"/>
  </w:num>
  <w:num w:numId="4" w16cid:durableId="119029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24AE4"/>
    <w:rsid w:val="000B42BA"/>
    <w:rsid w:val="000C7FBD"/>
    <w:rsid w:val="000D0D61"/>
    <w:rsid w:val="000D26B4"/>
    <w:rsid w:val="000E013A"/>
    <w:rsid w:val="001501E8"/>
    <w:rsid w:val="0019112A"/>
    <w:rsid w:val="001A6595"/>
    <w:rsid w:val="002263BD"/>
    <w:rsid w:val="002428A2"/>
    <w:rsid w:val="00292D4E"/>
    <w:rsid w:val="002C5FEA"/>
    <w:rsid w:val="002F636B"/>
    <w:rsid w:val="00303AB5"/>
    <w:rsid w:val="00313290"/>
    <w:rsid w:val="00340E7A"/>
    <w:rsid w:val="003462CD"/>
    <w:rsid w:val="003463A5"/>
    <w:rsid w:val="00377029"/>
    <w:rsid w:val="00390850"/>
    <w:rsid w:val="003A1BC2"/>
    <w:rsid w:val="003D067C"/>
    <w:rsid w:val="003D47B9"/>
    <w:rsid w:val="003D6D88"/>
    <w:rsid w:val="004031A0"/>
    <w:rsid w:val="004419A6"/>
    <w:rsid w:val="0048066A"/>
    <w:rsid w:val="004A7140"/>
    <w:rsid w:val="00552441"/>
    <w:rsid w:val="00572006"/>
    <w:rsid w:val="00613633"/>
    <w:rsid w:val="00672FF0"/>
    <w:rsid w:val="00674694"/>
    <w:rsid w:val="006D4810"/>
    <w:rsid w:val="006E6B20"/>
    <w:rsid w:val="00702938"/>
    <w:rsid w:val="00704A31"/>
    <w:rsid w:val="00747542"/>
    <w:rsid w:val="00775370"/>
    <w:rsid w:val="007A4A8D"/>
    <w:rsid w:val="007B14E3"/>
    <w:rsid w:val="007D1EC0"/>
    <w:rsid w:val="007D4318"/>
    <w:rsid w:val="007E32D7"/>
    <w:rsid w:val="00817E0F"/>
    <w:rsid w:val="008316C8"/>
    <w:rsid w:val="00897369"/>
    <w:rsid w:val="008B02D5"/>
    <w:rsid w:val="009226F0"/>
    <w:rsid w:val="00943D69"/>
    <w:rsid w:val="00A12C7D"/>
    <w:rsid w:val="00AA6320"/>
    <w:rsid w:val="00AB7B3A"/>
    <w:rsid w:val="00AF4416"/>
    <w:rsid w:val="00B2043F"/>
    <w:rsid w:val="00B60618"/>
    <w:rsid w:val="00B676C5"/>
    <w:rsid w:val="00B97984"/>
    <w:rsid w:val="00BE757C"/>
    <w:rsid w:val="00C30848"/>
    <w:rsid w:val="00C33E75"/>
    <w:rsid w:val="00C508BE"/>
    <w:rsid w:val="00C908FE"/>
    <w:rsid w:val="00CA5103"/>
    <w:rsid w:val="00CE0C00"/>
    <w:rsid w:val="00CF7BB7"/>
    <w:rsid w:val="00D2783E"/>
    <w:rsid w:val="00D315AC"/>
    <w:rsid w:val="00D73DE2"/>
    <w:rsid w:val="00D751DC"/>
    <w:rsid w:val="00EB515E"/>
    <w:rsid w:val="00ED25D0"/>
    <w:rsid w:val="00EF4447"/>
    <w:rsid w:val="00F357F4"/>
    <w:rsid w:val="00F36985"/>
    <w:rsid w:val="00F4404A"/>
    <w:rsid w:val="00F45BBD"/>
    <w:rsid w:val="00F970DD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chartTrackingRefBased/>
  <w15:docId w15:val="{1CEA3824-7200-4F00-BF6A-E3DEAE5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25A94-1168-4FD9-A435-78C660F8B1B9}"/>
</file>

<file path=customXml/itemProps2.xml><?xml version="1.0" encoding="utf-8"?>
<ds:datastoreItem xmlns:ds="http://schemas.openxmlformats.org/officeDocument/2006/customXml" ds:itemID="{3ED419D2-3E2D-4D91-97CA-2AF4488A4302}"/>
</file>

<file path=customXml/itemProps3.xml><?xml version="1.0" encoding="utf-8"?>
<ds:datastoreItem xmlns:ds="http://schemas.openxmlformats.org/officeDocument/2006/customXml" ds:itemID="{58042273-F633-429F-9826-E2EBBF18A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80</cp:revision>
  <dcterms:created xsi:type="dcterms:W3CDTF">2022-11-04T11:05:00Z</dcterms:created>
  <dcterms:modified xsi:type="dcterms:W3CDTF">2022-11-07T08:46:00Z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