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55D2" w:rsidRPr="00322FD4" w:rsidTr="00E156C2">
        <w:tc>
          <w:tcPr>
            <w:tcW w:w="8644" w:type="dxa"/>
          </w:tcPr>
          <w:p w:rsidR="00CF5D8B" w:rsidRDefault="004155D2" w:rsidP="00B743D5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es-ES"/>
              </w:rPr>
            </w:pPr>
            <w:r w:rsidRPr="00322FD4">
              <w:rPr>
                <w:b/>
                <w:sz w:val="24"/>
                <w:szCs w:val="24"/>
                <w:lang w:val="es-ES"/>
              </w:rPr>
              <w:t xml:space="preserve">INTERVENCIÓN </w:t>
            </w:r>
            <w:r w:rsidR="00CF5D8B">
              <w:rPr>
                <w:b/>
                <w:sz w:val="24"/>
                <w:szCs w:val="24"/>
                <w:lang w:val="es-ES"/>
              </w:rPr>
              <w:t xml:space="preserve">DE </w:t>
            </w:r>
            <w:r w:rsidRPr="00322FD4">
              <w:rPr>
                <w:b/>
                <w:sz w:val="24"/>
                <w:szCs w:val="24"/>
                <w:lang w:val="es-ES"/>
              </w:rPr>
              <w:t>ESPAÑ</w:t>
            </w:r>
            <w:r w:rsidR="00CF5D8B">
              <w:rPr>
                <w:b/>
                <w:sz w:val="24"/>
                <w:szCs w:val="24"/>
                <w:lang w:val="es-ES"/>
              </w:rPr>
              <w:t>A</w:t>
            </w:r>
            <w:r w:rsidR="00B743D5">
              <w:t xml:space="preserve"> </w:t>
            </w:r>
            <w:r w:rsidR="00B743D5" w:rsidRPr="00B743D5">
              <w:rPr>
                <w:b/>
                <w:sz w:val="24"/>
                <w:szCs w:val="24"/>
                <w:lang w:val="es-ES"/>
              </w:rPr>
              <w:t xml:space="preserve"> </w:t>
            </w:r>
          </w:p>
          <w:p w:rsidR="004155D2" w:rsidRDefault="00B743D5" w:rsidP="00B743D5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41ª SESIÓN </w:t>
            </w:r>
            <w:r w:rsidR="00CF5D8B">
              <w:rPr>
                <w:b/>
                <w:sz w:val="24"/>
                <w:szCs w:val="24"/>
                <w:lang w:val="es-ES"/>
              </w:rPr>
              <w:t xml:space="preserve">EXAMEN PERIÓDICA UNIVERSAL, </w:t>
            </w:r>
            <w:r>
              <w:rPr>
                <w:b/>
                <w:sz w:val="24"/>
                <w:szCs w:val="24"/>
                <w:lang w:val="es-ES"/>
              </w:rPr>
              <w:t>NOV</w:t>
            </w:r>
            <w:r w:rsidR="00CF5D8B">
              <w:rPr>
                <w:b/>
                <w:sz w:val="24"/>
                <w:szCs w:val="24"/>
                <w:lang w:val="es-ES"/>
              </w:rPr>
              <w:t xml:space="preserve">IEMBRE </w:t>
            </w:r>
            <w:r w:rsidR="00507793" w:rsidRPr="00322FD4">
              <w:rPr>
                <w:b/>
                <w:sz w:val="24"/>
                <w:szCs w:val="24"/>
                <w:lang w:val="es-ES"/>
              </w:rPr>
              <w:t xml:space="preserve">2022 </w:t>
            </w:r>
          </w:p>
          <w:p w:rsidR="00CF5D8B" w:rsidRPr="00322FD4" w:rsidRDefault="00CF5D8B" w:rsidP="00B743D5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INDONESIA</w:t>
            </w:r>
          </w:p>
        </w:tc>
      </w:tr>
    </w:tbl>
    <w:p w:rsidR="00D426B9" w:rsidRPr="00792BDB" w:rsidRDefault="00D426B9" w:rsidP="00D426B9">
      <w:pPr>
        <w:jc w:val="both"/>
        <w:rPr>
          <w:sz w:val="32"/>
          <w:szCs w:val="32"/>
          <w:lang w:val="es-ES"/>
        </w:rPr>
      </w:pPr>
      <w:r w:rsidRPr="00792BDB">
        <w:rPr>
          <w:sz w:val="32"/>
          <w:szCs w:val="32"/>
          <w:lang w:val="es-ES"/>
        </w:rPr>
        <w:t>Muchas gracias, Sr. Presidente.</w:t>
      </w:r>
    </w:p>
    <w:p w:rsidR="00D426B9" w:rsidRPr="00792BDB" w:rsidRDefault="00D426B9" w:rsidP="00D426B9">
      <w:pPr>
        <w:jc w:val="both"/>
        <w:rPr>
          <w:sz w:val="32"/>
          <w:szCs w:val="32"/>
          <w:lang w:val="es-ES"/>
        </w:rPr>
      </w:pPr>
      <w:r w:rsidRPr="00792BDB">
        <w:rPr>
          <w:sz w:val="32"/>
          <w:szCs w:val="32"/>
          <w:lang w:val="es-ES"/>
        </w:rPr>
        <w:t xml:space="preserve">España da una cordial bienvenida a la delegación de </w:t>
      </w:r>
      <w:r w:rsidR="00507793" w:rsidRPr="00792BDB">
        <w:rPr>
          <w:sz w:val="32"/>
          <w:szCs w:val="32"/>
          <w:lang w:val="es-ES"/>
        </w:rPr>
        <w:t>Indonesia</w:t>
      </w:r>
      <w:r w:rsidR="006D1007">
        <w:rPr>
          <w:sz w:val="32"/>
          <w:szCs w:val="32"/>
          <w:lang w:val="es-ES"/>
        </w:rPr>
        <w:t>.</w:t>
      </w:r>
    </w:p>
    <w:p w:rsidR="0086143A" w:rsidRPr="00792BDB" w:rsidRDefault="00BE3176" w:rsidP="0086143A">
      <w:pPr>
        <w:jc w:val="both"/>
        <w:rPr>
          <w:sz w:val="32"/>
          <w:szCs w:val="32"/>
          <w:lang w:val="es-ES"/>
        </w:rPr>
      </w:pPr>
      <w:r w:rsidRPr="00792BDB">
        <w:rPr>
          <w:sz w:val="32"/>
          <w:szCs w:val="32"/>
          <w:lang w:val="es-ES"/>
        </w:rPr>
        <w:t xml:space="preserve">Saludamos los avances producidos en aspectos legislativos tan importantes como la </w:t>
      </w:r>
      <w:r w:rsidR="0086143A" w:rsidRPr="00792BDB">
        <w:rPr>
          <w:sz w:val="32"/>
          <w:szCs w:val="32"/>
          <w:lang w:val="es-ES"/>
        </w:rPr>
        <w:t xml:space="preserve">Ley contra la violencia sexual, aprobada este 2022, que </w:t>
      </w:r>
      <w:r w:rsidR="00CF5D8B" w:rsidRPr="00792BDB">
        <w:rPr>
          <w:sz w:val="32"/>
          <w:szCs w:val="32"/>
          <w:lang w:val="es-ES"/>
        </w:rPr>
        <w:t xml:space="preserve">considera como formas de </w:t>
      </w:r>
      <w:r w:rsidR="00C87967" w:rsidRPr="00792BDB">
        <w:rPr>
          <w:sz w:val="32"/>
          <w:szCs w:val="32"/>
          <w:lang w:val="es-ES"/>
        </w:rPr>
        <w:t>violencia, entre</w:t>
      </w:r>
      <w:r w:rsidR="0086143A" w:rsidRPr="00792BDB">
        <w:rPr>
          <w:sz w:val="32"/>
          <w:szCs w:val="32"/>
          <w:lang w:val="es-ES"/>
        </w:rPr>
        <w:t xml:space="preserve"> otras, el matrimonio forzado, la violencia sexual por medios electrónicos y la violación </w:t>
      </w:r>
      <w:r w:rsidR="006D1007">
        <w:rPr>
          <w:sz w:val="32"/>
          <w:szCs w:val="32"/>
          <w:lang w:val="es-ES"/>
        </w:rPr>
        <w:t>conyugal</w:t>
      </w:r>
      <w:r w:rsidR="0086143A" w:rsidRPr="00792BDB">
        <w:rPr>
          <w:sz w:val="32"/>
          <w:szCs w:val="32"/>
          <w:lang w:val="es-ES"/>
        </w:rPr>
        <w:t xml:space="preserve">. </w:t>
      </w:r>
    </w:p>
    <w:p w:rsidR="009A7905" w:rsidRPr="00792BDB" w:rsidRDefault="00AE1484" w:rsidP="00D426B9">
      <w:pPr>
        <w:jc w:val="both"/>
        <w:rPr>
          <w:sz w:val="32"/>
          <w:szCs w:val="32"/>
          <w:lang w:val="es-ES"/>
        </w:rPr>
      </w:pPr>
      <w:r w:rsidRPr="00792BDB">
        <w:rPr>
          <w:sz w:val="32"/>
          <w:szCs w:val="32"/>
          <w:lang w:val="es-ES"/>
        </w:rPr>
        <w:t xml:space="preserve">Nos </w:t>
      </w:r>
      <w:r w:rsidR="00C87967" w:rsidRPr="00792BDB">
        <w:rPr>
          <w:sz w:val="32"/>
          <w:szCs w:val="32"/>
          <w:lang w:val="es-ES"/>
        </w:rPr>
        <w:t xml:space="preserve">preocupa el aumento de arrestos de </w:t>
      </w:r>
      <w:r w:rsidR="00BE3176" w:rsidRPr="00792BDB">
        <w:rPr>
          <w:sz w:val="32"/>
          <w:szCs w:val="32"/>
          <w:lang w:val="es-ES"/>
        </w:rPr>
        <w:t>personas defensora</w:t>
      </w:r>
      <w:r w:rsidRPr="00792BDB">
        <w:rPr>
          <w:sz w:val="32"/>
          <w:szCs w:val="32"/>
          <w:lang w:val="es-ES"/>
        </w:rPr>
        <w:t xml:space="preserve">s de </w:t>
      </w:r>
      <w:r w:rsidR="00BE3176" w:rsidRPr="00792BDB">
        <w:rPr>
          <w:sz w:val="32"/>
          <w:szCs w:val="32"/>
          <w:lang w:val="es-ES"/>
        </w:rPr>
        <w:t xml:space="preserve">los </w:t>
      </w:r>
      <w:r w:rsidRPr="00792BDB">
        <w:rPr>
          <w:sz w:val="32"/>
          <w:szCs w:val="32"/>
          <w:lang w:val="es-ES"/>
        </w:rPr>
        <w:t xml:space="preserve">derechos humanos, periodistas y activistas. </w:t>
      </w:r>
      <w:r w:rsidR="00BE3176" w:rsidRPr="00792BDB">
        <w:rPr>
          <w:sz w:val="32"/>
          <w:szCs w:val="32"/>
          <w:lang w:val="es-ES"/>
        </w:rPr>
        <w:t>España</w:t>
      </w:r>
      <w:r w:rsidR="00827B37" w:rsidRPr="00792BDB">
        <w:rPr>
          <w:sz w:val="32"/>
          <w:szCs w:val="32"/>
          <w:lang w:val="es-ES"/>
        </w:rPr>
        <w:t xml:space="preserve"> recomienda </w:t>
      </w:r>
      <w:r w:rsidR="00827B37" w:rsidRPr="00792BDB">
        <w:rPr>
          <w:b/>
          <w:sz w:val="32"/>
          <w:szCs w:val="32"/>
          <w:lang w:val="es-ES"/>
        </w:rPr>
        <w:t>(1)</w:t>
      </w:r>
      <w:r w:rsidR="00827B37" w:rsidRPr="00792BDB">
        <w:rPr>
          <w:sz w:val="32"/>
          <w:szCs w:val="32"/>
          <w:lang w:val="es-ES"/>
        </w:rPr>
        <w:t xml:space="preserve"> la revisión y modificación, acorde con estándares internacionales, de </w:t>
      </w:r>
      <w:r w:rsidR="00BE3176" w:rsidRPr="00792BDB">
        <w:rPr>
          <w:sz w:val="32"/>
          <w:szCs w:val="32"/>
          <w:lang w:val="es-ES"/>
        </w:rPr>
        <w:t xml:space="preserve">aquellas </w:t>
      </w:r>
      <w:r w:rsidR="00827B37" w:rsidRPr="00792BDB">
        <w:rPr>
          <w:sz w:val="32"/>
          <w:szCs w:val="32"/>
          <w:lang w:val="es-ES"/>
        </w:rPr>
        <w:t xml:space="preserve">leyes que </w:t>
      </w:r>
      <w:r w:rsidR="00BE3176" w:rsidRPr="00792BDB">
        <w:rPr>
          <w:sz w:val="32"/>
          <w:szCs w:val="32"/>
          <w:lang w:val="es-ES"/>
        </w:rPr>
        <w:t>en la actualidad imponen restricciones indebidas a</w:t>
      </w:r>
      <w:r w:rsidR="00827B37" w:rsidRPr="00792BDB">
        <w:rPr>
          <w:sz w:val="32"/>
          <w:szCs w:val="32"/>
          <w:lang w:val="es-ES"/>
        </w:rPr>
        <w:t xml:space="preserve"> la sociedad civil y medios de comunicación</w:t>
      </w:r>
      <w:r w:rsidR="006D1007">
        <w:rPr>
          <w:sz w:val="32"/>
          <w:szCs w:val="32"/>
          <w:lang w:val="es-ES"/>
        </w:rPr>
        <w:t>.</w:t>
      </w:r>
      <w:r w:rsidR="00827B37" w:rsidRPr="00792BDB">
        <w:rPr>
          <w:sz w:val="32"/>
          <w:szCs w:val="32"/>
          <w:lang w:val="es-ES"/>
        </w:rPr>
        <w:t xml:space="preserve"> </w:t>
      </w:r>
      <w:r w:rsidR="00827B37" w:rsidRPr="00792BDB">
        <w:rPr>
          <w:b/>
          <w:sz w:val="32"/>
          <w:szCs w:val="32"/>
          <w:lang w:val="es-ES"/>
        </w:rPr>
        <w:t>(2)</w:t>
      </w:r>
      <w:r w:rsidR="00827B37" w:rsidRPr="00792BDB">
        <w:rPr>
          <w:sz w:val="32"/>
          <w:szCs w:val="32"/>
          <w:lang w:val="es-ES"/>
        </w:rPr>
        <w:t xml:space="preserve"> </w:t>
      </w:r>
      <w:r w:rsidR="009A7905" w:rsidRPr="00792BDB">
        <w:rPr>
          <w:sz w:val="32"/>
          <w:szCs w:val="32"/>
          <w:lang w:val="es-ES"/>
        </w:rPr>
        <w:t xml:space="preserve">reforzar la tutela judicial efectiva para garantizar el acceso de toda la población a una justicia segura en caso de ataque o intimidación. </w:t>
      </w:r>
    </w:p>
    <w:p w:rsidR="006409A4" w:rsidRPr="00792BDB" w:rsidRDefault="001A69E6" w:rsidP="00322FD4">
      <w:pPr>
        <w:jc w:val="both"/>
        <w:rPr>
          <w:sz w:val="32"/>
          <w:szCs w:val="32"/>
          <w:lang w:val="es-ES"/>
        </w:rPr>
      </w:pPr>
      <w:r w:rsidRPr="00792BDB">
        <w:rPr>
          <w:sz w:val="32"/>
          <w:szCs w:val="32"/>
          <w:lang w:val="es-ES"/>
        </w:rPr>
        <w:t xml:space="preserve">En materia de violencia de género, recomendamos </w:t>
      </w:r>
      <w:r w:rsidRPr="00792BDB">
        <w:rPr>
          <w:b/>
          <w:sz w:val="32"/>
          <w:szCs w:val="32"/>
          <w:lang w:val="es-ES"/>
        </w:rPr>
        <w:t>(3)</w:t>
      </w:r>
      <w:r w:rsidRPr="00792BDB">
        <w:rPr>
          <w:sz w:val="32"/>
          <w:szCs w:val="32"/>
          <w:lang w:val="es-ES"/>
        </w:rPr>
        <w:t xml:space="preserve"> impulsar la coordinación entre las administraciones para avanzar en</w:t>
      </w:r>
      <w:r w:rsidR="006409A4" w:rsidRPr="00792BDB">
        <w:rPr>
          <w:sz w:val="32"/>
          <w:szCs w:val="32"/>
          <w:lang w:val="es-ES"/>
        </w:rPr>
        <w:t xml:space="preserve"> la protección de mujeres y niña</w:t>
      </w:r>
      <w:r w:rsidRPr="00792BDB">
        <w:rPr>
          <w:sz w:val="32"/>
          <w:szCs w:val="32"/>
          <w:lang w:val="es-ES"/>
        </w:rPr>
        <w:t>s, especialmente en sit</w:t>
      </w:r>
      <w:r w:rsidR="006409A4" w:rsidRPr="00792BDB">
        <w:rPr>
          <w:sz w:val="32"/>
          <w:szCs w:val="32"/>
          <w:lang w:val="es-ES"/>
        </w:rPr>
        <w:t xml:space="preserve">uaciones sociales conflictivas, a través de la armonización de la legislación interna con los </w:t>
      </w:r>
      <w:r w:rsidR="00882EBD" w:rsidRPr="00792BDB">
        <w:rPr>
          <w:sz w:val="32"/>
          <w:szCs w:val="32"/>
          <w:lang w:val="es-ES"/>
        </w:rPr>
        <w:t xml:space="preserve">mecanismos internacionales </w:t>
      </w:r>
      <w:r w:rsidR="00BE3176" w:rsidRPr="00792BDB">
        <w:rPr>
          <w:sz w:val="32"/>
          <w:szCs w:val="32"/>
          <w:lang w:val="es-ES"/>
        </w:rPr>
        <w:t>y la</w:t>
      </w:r>
      <w:r w:rsidR="00882EBD" w:rsidRPr="00792BDB">
        <w:rPr>
          <w:sz w:val="32"/>
          <w:szCs w:val="32"/>
          <w:lang w:val="es-ES"/>
        </w:rPr>
        <w:t xml:space="preserve"> ratificación del Protocolo Facultativo de la Convención </w:t>
      </w:r>
      <w:r w:rsidR="006D1007">
        <w:rPr>
          <w:sz w:val="32"/>
          <w:szCs w:val="32"/>
          <w:lang w:val="es-ES"/>
        </w:rPr>
        <w:t>CEDAW</w:t>
      </w:r>
      <w:r w:rsidR="00882EBD" w:rsidRPr="00792BDB">
        <w:rPr>
          <w:sz w:val="32"/>
          <w:szCs w:val="32"/>
          <w:lang w:val="es-ES"/>
        </w:rPr>
        <w:t>.</w:t>
      </w:r>
    </w:p>
    <w:p w:rsidR="006055DA" w:rsidRPr="00792BDB" w:rsidRDefault="001A69E6" w:rsidP="006D1007">
      <w:pPr>
        <w:jc w:val="both"/>
        <w:rPr>
          <w:sz w:val="32"/>
          <w:szCs w:val="32"/>
        </w:rPr>
      </w:pPr>
      <w:r w:rsidRPr="00792BDB">
        <w:rPr>
          <w:sz w:val="32"/>
          <w:szCs w:val="32"/>
          <w:lang w:val="es-ES"/>
        </w:rPr>
        <w:lastRenderedPageBreak/>
        <w:t xml:space="preserve">Por último, recomendamos </w:t>
      </w:r>
      <w:r w:rsidRPr="00792BDB">
        <w:rPr>
          <w:b/>
          <w:sz w:val="32"/>
          <w:szCs w:val="32"/>
          <w:lang w:val="es-ES"/>
        </w:rPr>
        <w:t>(4)</w:t>
      </w:r>
      <w:r w:rsidR="00322FD4" w:rsidRPr="00792BDB">
        <w:rPr>
          <w:sz w:val="32"/>
          <w:szCs w:val="32"/>
          <w:lang w:val="es-ES"/>
        </w:rPr>
        <w:t xml:space="preserve"> el </w:t>
      </w:r>
      <w:r w:rsidR="00EC3F1F" w:rsidRPr="00792BDB">
        <w:rPr>
          <w:sz w:val="32"/>
          <w:szCs w:val="32"/>
          <w:lang w:val="es-ES"/>
        </w:rPr>
        <w:t>establecimiento de una</w:t>
      </w:r>
      <w:r w:rsidR="00322FD4" w:rsidRPr="00792BDB">
        <w:rPr>
          <w:sz w:val="32"/>
          <w:szCs w:val="32"/>
          <w:lang w:val="es-ES"/>
        </w:rPr>
        <w:t xml:space="preserve"> moratoria en la aplicación de la pena de muerte como </w:t>
      </w:r>
      <w:r w:rsidR="00EC3F1F" w:rsidRPr="00792BDB">
        <w:rPr>
          <w:sz w:val="32"/>
          <w:szCs w:val="32"/>
          <w:lang w:val="es-ES"/>
        </w:rPr>
        <w:t>primer paso hacia su abolición y</w:t>
      </w:r>
      <w:r w:rsidR="00322FD4" w:rsidRPr="00792BDB">
        <w:rPr>
          <w:sz w:val="32"/>
          <w:szCs w:val="32"/>
          <w:lang w:val="es-ES"/>
        </w:rPr>
        <w:t xml:space="preserve"> </w:t>
      </w:r>
      <w:r w:rsidR="00322FD4" w:rsidRPr="00792BDB">
        <w:rPr>
          <w:b/>
          <w:sz w:val="32"/>
          <w:szCs w:val="32"/>
          <w:lang w:val="es-ES"/>
        </w:rPr>
        <w:t>(5)</w:t>
      </w:r>
      <w:r w:rsidR="00322FD4" w:rsidRPr="00792BDB">
        <w:rPr>
          <w:sz w:val="32"/>
          <w:szCs w:val="32"/>
          <w:lang w:val="es-ES"/>
        </w:rPr>
        <w:t xml:space="preserve"> </w:t>
      </w:r>
      <w:r w:rsidR="00EC3F1F" w:rsidRPr="00792BDB">
        <w:rPr>
          <w:sz w:val="32"/>
          <w:szCs w:val="32"/>
          <w:lang w:val="es-ES"/>
        </w:rPr>
        <w:t>la implementación de un mecanismo de conmutación de pena para los condenados a muerte, además del mecanismo de clem</w:t>
      </w:r>
      <w:r w:rsidR="006D1007">
        <w:rPr>
          <w:sz w:val="32"/>
          <w:szCs w:val="32"/>
          <w:lang w:val="es-ES"/>
        </w:rPr>
        <w:t>encia por parte del Presidente.</w:t>
      </w:r>
      <w:bookmarkStart w:id="0" w:name="_GoBack"/>
      <w:bookmarkEnd w:id="0"/>
    </w:p>
    <w:sectPr w:rsidR="006055DA" w:rsidRPr="00792BD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7FB" w:rsidRDefault="00F917FB" w:rsidP="001A69E6">
      <w:pPr>
        <w:spacing w:after="0" w:line="240" w:lineRule="auto"/>
      </w:pPr>
      <w:r>
        <w:separator/>
      </w:r>
    </w:p>
  </w:endnote>
  <w:endnote w:type="continuationSeparator" w:id="0">
    <w:p w:rsidR="00F917FB" w:rsidRDefault="00F917FB" w:rsidP="001A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7FB" w:rsidRDefault="00F917FB" w:rsidP="001A69E6">
      <w:pPr>
        <w:spacing w:after="0" w:line="240" w:lineRule="auto"/>
      </w:pPr>
      <w:r>
        <w:separator/>
      </w:r>
    </w:p>
  </w:footnote>
  <w:footnote w:type="continuationSeparator" w:id="0">
    <w:p w:rsidR="00F917FB" w:rsidRDefault="00F917FB" w:rsidP="001A6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DB" w:rsidRDefault="00792BDB" w:rsidP="00792BDB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 w:rsidRPr="00DE466B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F1BB06C" wp14:editId="444C04C3">
          <wp:simplePos x="0" y="0"/>
          <wp:positionH relativeFrom="column">
            <wp:posOffset>-212090</wp:posOffset>
          </wp:positionH>
          <wp:positionV relativeFrom="paragraph">
            <wp:posOffset>-395605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5F8B67" wp14:editId="7373AABC">
              <wp:simplePos x="0" y="0"/>
              <wp:positionH relativeFrom="column">
                <wp:posOffset>788670</wp:posOffset>
              </wp:positionH>
              <wp:positionV relativeFrom="paragraph">
                <wp:posOffset>72390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BDB" w:rsidRPr="00D16F4F" w:rsidRDefault="00792BDB" w:rsidP="00792BDB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  <w:t>MINISTERIO</w:t>
                          </w:r>
                        </w:p>
                        <w:p w:rsidR="00792BDB" w:rsidRPr="00D16F4F" w:rsidRDefault="00792BDB" w:rsidP="00792BDB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  <w:t>DE ASUNTOS EXTERIORES, UNIÓN EUROPEA</w:t>
                          </w:r>
                        </w:p>
                        <w:p w:rsidR="00792BDB" w:rsidRPr="00583425" w:rsidRDefault="00792BDB" w:rsidP="00792BDB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F8B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1pt;margin-top:5.7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mPr4&#10;id0AAAAJAQAADwAAAAAAAAAAAAAAAADbBAAAZHJzL2Rvd25yZXYueG1sUEsFBgAAAAAEAAQA8wAA&#10;AOUFAAAAAA==&#10;" stroked="f">
              <v:textbox>
                <w:txbxContent>
                  <w:p w:rsidR="00792BDB" w:rsidRPr="00D16F4F" w:rsidRDefault="00792BDB" w:rsidP="00792BDB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  <w:t>MINISTERIO</w:t>
                    </w:r>
                  </w:p>
                  <w:p w:rsidR="00792BDB" w:rsidRPr="00D16F4F" w:rsidRDefault="00792BDB" w:rsidP="00792BDB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  <w:t>DE ASUNTOS EXTERIORES, UNIÓN EUROPEA</w:t>
                    </w:r>
                  </w:p>
                  <w:p w:rsidR="00792BDB" w:rsidRPr="00583425" w:rsidRDefault="00792BDB" w:rsidP="00792BDB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 w:rsidRPr="00817EDD">
      <w:rPr>
        <w:rFonts w:ascii="Arial" w:hAnsi="Arial" w:cs="Arial"/>
        <w:b/>
        <w:i/>
        <w:sz w:val="24"/>
        <w:szCs w:val="24"/>
        <w:lang w:val="en-GB"/>
      </w:rPr>
      <w:t>Check against delivery</w:t>
    </w:r>
  </w:p>
  <w:p w:rsidR="000C2B67" w:rsidRDefault="000C2B67" w:rsidP="00792BDB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>
      <w:rPr>
        <w:rFonts w:ascii="Arial" w:hAnsi="Arial" w:cs="Arial"/>
        <w:b/>
        <w:i/>
        <w:sz w:val="24"/>
        <w:szCs w:val="24"/>
        <w:lang w:val="en-GB"/>
      </w:rPr>
      <w:t xml:space="preserve">1 </w:t>
    </w:r>
    <w:proofErr w:type="spellStart"/>
    <w:r>
      <w:rPr>
        <w:rFonts w:ascii="Arial" w:hAnsi="Arial" w:cs="Arial"/>
        <w:b/>
        <w:i/>
        <w:sz w:val="24"/>
        <w:szCs w:val="24"/>
        <w:lang w:val="en-GB"/>
      </w:rPr>
      <w:t>mín</w:t>
    </w:r>
    <w:proofErr w:type="spellEnd"/>
    <w:r>
      <w:rPr>
        <w:rFonts w:ascii="Arial" w:hAnsi="Arial" w:cs="Arial"/>
        <w:b/>
        <w:i/>
        <w:sz w:val="24"/>
        <w:szCs w:val="24"/>
        <w:lang w:val="en-GB"/>
      </w:rPr>
      <w:t xml:space="preserve">. 05 </w:t>
    </w:r>
    <w:proofErr w:type="spellStart"/>
    <w:r>
      <w:rPr>
        <w:rFonts w:ascii="Arial" w:hAnsi="Arial" w:cs="Arial"/>
        <w:b/>
        <w:i/>
        <w:sz w:val="24"/>
        <w:szCs w:val="24"/>
        <w:lang w:val="en-GB"/>
      </w:rPr>
      <w:t>seg</w:t>
    </w:r>
    <w:proofErr w:type="spellEnd"/>
    <w:r>
      <w:rPr>
        <w:rFonts w:ascii="Arial" w:hAnsi="Arial" w:cs="Arial"/>
        <w:b/>
        <w:i/>
        <w:sz w:val="24"/>
        <w:szCs w:val="24"/>
        <w:lang w:val="en-GB"/>
      </w:rPr>
      <w:t>.</w:t>
    </w:r>
  </w:p>
  <w:p w:rsidR="000C2B67" w:rsidRDefault="000C2B67" w:rsidP="00792BDB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>
      <w:rPr>
        <w:rFonts w:ascii="Arial" w:hAnsi="Arial" w:cs="Arial"/>
        <w:b/>
        <w:i/>
        <w:sz w:val="24"/>
        <w:szCs w:val="24"/>
        <w:lang w:val="en-GB"/>
      </w:rPr>
      <w:t>ES 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172"/>
    <w:multiLevelType w:val="hybridMultilevel"/>
    <w:tmpl w:val="31B41E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21302"/>
    <w:multiLevelType w:val="hybridMultilevel"/>
    <w:tmpl w:val="388832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D5013"/>
    <w:multiLevelType w:val="hybridMultilevel"/>
    <w:tmpl w:val="F51CD3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F1D4D"/>
    <w:multiLevelType w:val="hybridMultilevel"/>
    <w:tmpl w:val="0AA477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B9"/>
    <w:rsid w:val="000604CE"/>
    <w:rsid w:val="000C2B67"/>
    <w:rsid w:val="000D370B"/>
    <w:rsid w:val="00144A30"/>
    <w:rsid w:val="001A69E6"/>
    <w:rsid w:val="002C63EB"/>
    <w:rsid w:val="00322FD4"/>
    <w:rsid w:val="003D5B90"/>
    <w:rsid w:val="004155D2"/>
    <w:rsid w:val="00421DEE"/>
    <w:rsid w:val="00507793"/>
    <w:rsid w:val="00601B21"/>
    <w:rsid w:val="006055DA"/>
    <w:rsid w:val="006409A4"/>
    <w:rsid w:val="006D1007"/>
    <w:rsid w:val="00792BDB"/>
    <w:rsid w:val="00827B37"/>
    <w:rsid w:val="0086143A"/>
    <w:rsid w:val="00882EBD"/>
    <w:rsid w:val="008A5D55"/>
    <w:rsid w:val="00921921"/>
    <w:rsid w:val="0095152C"/>
    <w:rsid w:val="009A7905"/>
    <w:rsid w:val="00AD0F5F"/>
    <w:rsid w:val="00AE1484"/>
    <w:rsid w:val="00B743D5"/>
    <w:rsid w:val="00BE3176"/>
    <w:rsid w:val="00C43FC3"/>
    <w:rsid w:val="00C87967"/>
    <w:rsid w:val="00CF5D8B"/>
    <w:rsid w:val="00D426B9"/>
    <w:rsid w:val="00D75338"/>
    <w:rsid w:val="00E009E0"/>
    <w:rsid w:val="00EC3F1F"/>
    <w:rsid w:val="00F450C4"/>
    <w:rsid w:val="00F66C43"/>
    <w:rsid w:val="00F9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D02E"/>
  <w15:chartTrackingRefBased/>
  <w15:docId w15:val="{D89D0087-417F-4282-9526-B4E0203F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6B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5DA"/>
    <w:pPr>
      <w:ind w:left="720"/>
      <w:contextualSpacing/>
    </w:pPr>
  </w:style>
  <w:style w:type="paragraph" w:customStyle="1" w:styleId="Default">
    <w:name w:val="Default"/>
    <w:rsid w:val="006055DA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41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A69E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69E6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1A69E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92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2BD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92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BD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B24651-F1D1-475C-9504-D7E37C6F8325}"/>
</file>

<file path=customXml/itemProps2.xml><?xml version="1.0" encoding="utf-8"?>
<ds:datastoreItem xmlns:ds="http://schemas.openxmlformats.org/officeDocument/2006/customXml" ds:itemID="{FC0C8C47-A08F-41A1-AEA6-C6074918F875}"/>
</file>

<file path=customXml/itemProps3.xml><?xml version="1.0" encoding="utf-8"?>
<ds:datastoreItem xmlns:ds="http://schemas.openxmlformats.org/officeDocument/2006/customXml" ds:itemID="{1F6DF114-A38E-4306-A85B-2932A056132C}"/>
</file>

<file path=customXml/itemProps4.xml><?xml version="1.0" encoding="utf-8"?>
<ds:datastoreItem xmlns:ds="http://schemas.openxmlformats.org/officeDocument/2006/customXml" ds:itemID="{C8DC1881-9154-4418-B08B-60A31A1AE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Menchon López, Isabel</dc:creator>
  <cp:keywords/>
  <dc:description/>
  <cp:lastModifiedBy>Espinosa Martí, Josefina</cp:lastModifiedBy>
  <cp:revision>6</cp:revision>
  <cp:lastPrinted>2022-11-07T09:11:00Z</cp:lastPrinted>
  <dcterms:created xsi:type="dcterms:W3CDTF">2022-10-28T12:14:00Z</dcterms:created>
  <dcterms:modified xsi:type="dcterms:W3CDTF">2022-11-07T11:11:00Z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