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E8" w:rsidRPr="002E3039" w:rsidRDefault="00BE4AE8" w:rsidP="00320377">
      <w:pPr>
        <w:pStyle w:val="Body"/>
        <w:ind w:right="-144"/>
        <w:jc w:val="center"/>
        <w:rPr>
          <w:rFonts w:asciiTheme="minorBidi" w:eastAsia="Al Bayan Plain" w:hAnsiTheme="minorBidi" w:cs="Royal Arabic"/>
          <w:color w:val="auto"/>
          <w:sz w:val="42"/>
          <w:szCs w:val="42"/>
          <w:rtl/>
        </w:rPr>
      </w:pPr>
      <w:r w:rsidRPr="002E3039">
        <w:rPr>
          <w:rFonts w:asciiTheme="minorBidi" w:eastAsia="Al Bayan Plain" w:hAnsiTheme="minorBidi" w:cs="Royal Arabic"/>
          <w:color w:val="auto"/>
          <w:sz w:val="42"/>
          <w:szCs w:val="42"/>
          <w:rtl/>
        </w:rPr>
        <w:t>استعراض تقرير الجمهورية (</w:t>
      </w:r>
      <w:r w:rsidRPr="002E3039">
        <w:rPr>
          <w:rFonts w:asciiTheme="minorBidi" w:eastAsia="Al Bayan Plain" w:hAnsiTheme="minorBidi" w:cs="Royal Arabic"/>
          <w:b/>
          <w:bCs/>
          <w:color w:val="auto"/>
          <w:sz w:val="42"/>
          <w:szCs w:val="42"/>
          <w:rtl/>
        </w:rPr>
        <w:t>التونسية</w:t>
      </w:r>
      <w:r w:rsidRPr="002E3039">
        <w:rPr>
          <w:rFonts w:asciiTheme="minorBidi" w:eastAsia="Al Bayan Plain" w:hAnsiTheme="minorBidi" w:cs="Royal Arabic"/>
          <w:color w:val="auto"/>
          <w:sz w:val="42"/>
          <w:szCs w:val="42"/>
          <w:rtl/>
        </w:rPr>
        <w:t xml:space="preserve">) </w:t>
      </w:r>
    </w:p>
    <w:p w:rsidR="00BE4AE8" w:rsidRPr="002E3039" w:rsidRDefault="00BE4AE8" w:rsidP="00320377">
      <w:pPr>
        <w:pStyle w:val="Body"/>
        <w:bidi/>
        <w:ind w:right="-144"/>
        <w:jc w:val="center"/>
        <w:rPr>
          <w:rFonts w:asciiTheme="minorBidi" w:eastAsia="Al Bayan Plain" w:hAnsiTheme="minorBidi" w:cs="Royal Arabic"/>
          <w:color w:val="auto"/>
          <w:sz w:val="42"/>
          <w:szCs w:val="42"/>
          <w:rtl/>
        </w:rPr>
      </w:pPr>
      <w:r w:rsidRPr="002E3039">
        <w:rPr>
          <w:rFonts w:asciiTheme="minorBidi" w:eastAsia="Al Bayan Plain" w:hAnsiTheme="minorBidi" w:cs="Royal Arabic"/>
          <w:color w:val="auto"/>
          <w:sz w:val="42"/>
          <w:szCs w:val="42"/>
          <w:rtl/>
        </w:rPr>
        <w:t>مداخلة المندوب الدائم لبعثة المملكة العربية السعودية لدى الأمم المتحدة بجنيف</w:t>
      </w:r>
    </w:p>
    <w:p w:rsidR="00BE4AE8" w:rsidRPr="002E3039" w:rsidRDefault="00BE4AE8" w:rsidP="00320377">
      <w:pPr>
        <w:pStyle w:val="Body"/>
        <w:bidi/>
        <w:spacing w:line="276" w:lineRule="auto"/>
        <w:jc w:val="center"/>
        <w:rPr>
          <w:rFonts w:asciiTheme="minorBidi" w:eastAsia="Al Bayan Plain" w:hAnsiTheme="minorBidi" w:cs="Royal Arabic"/>
          <w:color w:val="auto"/>
          <w:sz w:val="10"/>
          <w:szCs w:val="10"/>
          <w:rtl/>
        </w:rPr>
      </w:pPr>
    </w:p>
    <w:p w:rsidR="00BE4AE8" w:rsidRPr="002E3039" w:rsidRDefault="00320377" w:rsidP="00320377">
      <w:pPr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>السَّيِّد اَلرئِيس</w:t>
      </w:r>
      <w:r w:rsidRPr="002E3039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،</w:t>
      </w:r>
    </w:p>
    <w:p w:rsidR="00320377" w:rsidRDefault="00BE4AE8" w:rsidP="00320377">
      <w:pPr>
        <w:tabs>
          <w:tab w:val="right" w:pos="9972"/>
        </w:tabs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ab/>
      </w:r>
      <w:r w:rsidR="00320377"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>أودُّ فِي البداية أن أُرحِّب بِاسْم الممْلكة العربيَّة السُّعوديَّة بِ</w:t>
      </w:r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معالي رئيسة</w:t>
      </w:r>
      <w:r w:rsidR="00744276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 xml:space="preserve"> حكومة</w:t>
      </w:r>
      <w:bookmarkStart w:id="0" w:name="_GoBack"/>
      <w:bookmarkEnd w:id="0"/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 xml:space="preserve"> ال</w:t>
      </w:r>
      <w:r w:rsidR="00320377"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جُمْهوريَّة </w:t>
      </w:r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ال</w:t>
      </w:r>
      <w:r w:rsidR="00320377"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>تُونس</w:t>
      </w:r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ية السيدة/ نجلاء بودن رمضان، رئيسة وفد تونس</w:t>
      </w:r>
      <w:r w:rsidR="00320377"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 اَلشقِيق ونشْكره</w:t>
      </w:r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ا</w:t>
      </w:r>
      <w:r w:rsidR="00320377"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 على عَرضِه</w:t>
      </w:r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ا</w:t>
      </w:r>
      <w:r w:rsidR="00506B71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 القيم وَحرصِ</w:t>
      </w:r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 xml:space="preserve"> تونس </w:t>
      </w:r>
      <w:r w:rsidR="00320377"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على التَّفاعل بِإيجابيَّة مع آليَّات حُقُوق الإنْسان </w:t>
      </w:r>
      <w:r w:rsidR="00320377" w:rsidRPr="002E3039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الدَّوْليَّة.</w:t>
      </w:r>
    </w:p>
    <w:p w:rsidR="00506B71" w:rsidRPr="00506B71" w:rsidRDefault="00506B71" w:rsidP="00506B71">
      <w:pPr>
        <w:tabs>
          <w:tab w:val="right" w:pos="9972"/>
        </w:tabs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14"/>
          <w:szCs w:val="14"/>
          <w:shd w:val="clear" w:color="auto" w:fill="FFFFFF"/>
          <w:rtl/>
          <w:lang w:val="fr-CH" w:eastAsia="fr-FR"/>
        </w:rPr>
      </w:pPr>
    </w:p>
    <w:p w:rsidR="00506B71" w:rsidRDefault="002E4C51" w:rsidP="00506B71">
      <w:pPr>
        <w:tabs>
          <w:tab w:val="right" w:pos="9972"/>
        </w:tabs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>اِطلعَت بَعثَة بِلادي على التَّقْرير محلَّ الاسْتعْراض، وتقدِّر لِحكومة تُونس مساعيهَا الوطنيَّة الإصْلاحيَّة الشَّاملة المتوافقة مع مُقْتضيات الاتِّفاقيَّات الدَّوْليَّة المعْنيَّة بِحقوق الإنْسان</w:t>
      </w:r>
      <w:r w:rsidR="00506B71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.</w:t>
      </w:r>
    </w:p>
    <w:p w:rsidR="00506B71" w:rsidRPr="00506B71" w:rsidRDefault="00506B71" w:rsidP="00506B71">
      <w:pPr>
        <w:tabs>
          <w:tab w:val="right" w:pos="9972"/>
        </w:tabs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20"/>
          <w:szCs w:val="20"/>
          <w:shd w:val="clear" w:color="auto" w:fill="FFFFFF"/>
          <w:rtl/>
          <w:lang w:val="fr-CH" w:eastAsia="fr-FR"/>
        </w:rPr>
      </w:pPr>
    </w:p>
    <w:p w:rsidR="00BE4AE8" w:rsidRPr="002E3039" w:rsidRDefault="00320377" w:rsidP="00506B71">
      <w:pPr>
        <w:tabs>
          <w:tab w:val="right" w:pos="9972"/>
        </w:tabs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وَتوصِي بَعثَة بِلادي فِي هذَا الإطَار </w:t>
      </w:r>
      <w:r w:rsidRPr="002E3039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بِالتَّالي:</w:t>
      </w:r>
    </w:p>
    <w:p w:rsidR="00BE4AE8" w:rsidRPr="002E3039" w:rsidRDefault="00320377" w:rsidP="00320377">
      <w:pPr>
        <w:tabs>
          <w:tab w:val="right" w:pos="9972"/>
        </w:tabs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أوَّلا / مُوَاصلَة العمل على حِماية حُقُوق الطِّفْل </w:t>
      </w:r>
      <w:r w:rsidRPr="002E3039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وتعْزيزهَا،</w:t>
      </w: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 لَاسيَّمَا بِالتَّقدُّم فِي تَنفِيذ الاسْتراتيجيَّة الوطنيَّة مُتَعددَة القطاعات لِتنْمِية الطُّفولة المبكِّرة لِلْفتْرة </w:t>
      </w:r>
      <w:r w:rsidR="00757A13" w:rsidRPr="002E3039">
        <w:rPr>
          <w:rFonts w:asciiTheme="minorBidi" w:eastAsia="Times New Roman" w:hAnsiTheme="minorBidi" w:cs="Royal Arabic"/>
          <w:sz w:val="32"/>
          <w:szCs w:val="32"/>
          <w:shd w:val="clear" w:color="auto" w:fill="FFFFFF"/>
          <w:rtl/>
          <w:lang w:val="fr-CH" w:eastAsia="fr-FR"/>
        </w:rPr>
        <w:t>2017-2025.</w:t>
      </w:r>
    </w:p>
    <w:p w:rsidR="00320377" w:rsidRPr="002E3039" w:rsidRDefault="00320377" w:rsidP="00320377">
      <w:pPr>
        <w:shd w:val="clear" w:color="auto" w:fill="FFFFFF"/>
        <w:tabs>
          <w:tab w:val="right" w:pos="9972"/>
        </w:tabs>
        <w:bidi/>
        <w:spacing w:before="120" w:after="120" w:line="276" w:lineRule="auto"/>
        <w:jc w:val="both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>ثانيًا / مُضَاعفَة اَلجُهود الرَّامية لِمحاربة الفقْر مِن خِلَال تَنفِيذ الاسْتراتيجيَّة الوطنيَّة لِمقاومة الفقْر مُتَعدد الأبْعاد</w:t>
      </w:r>
      <w:r w:rsidRPr="002E3039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.</w:t>
      </w:r>
    </w:p>
    <w:p w:rsidR="00320377" w:rsidRPr="002E3039" w:rsidRDefault="00320377" w:rsidP="00320377">
      <w:pPr>
        <w:bidi/>
        <w:spacing w:before="120" w:after="120" w:line="276" w:lineRule="auto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>وَفِي الختَام تَتَمنَّى حُكُومَة بِلادي لِتونس اَلشقِيق دَوَام النَّمَاء والازْدهار</w:t>
      </w:r>
      <w:r w:rsidRPr="002E3039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.</w:t>
      </w:r>
    </w:p>
    <w:p w:rsidR="000E6E3D" w:rsidRPr="002E3039" w:rsidRDefault="00320377" w:rsidP="00320377">
      <w:pPr>
        <w:bidi/>
        <w:spacing w:line="276" w:lineRule="auto"/>
        <w:jc w:val="right"/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</w:pP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 xml:space="preserve">شُكْرًا السَّيِّد </w:t>
      </w:r>
      <w:r w:rsidRPr="002E3039">
        <w:rPr>
          <w:rFonts w:asciiTheme="minorBidi" w:eastAsia="Times New Roman" w:hAnsiTheme="minorBidi" w:cs="Royal Arabic" w:hint="cs"/>
          <w:sz w:val="42"/>
          <w:szCs w:val="42"/>
          <w:shd w:val="clear" w:color="auto" w:fill="FFFFFF"/>
          <w:rtl/>
          <w:lang w:val="fr-CH" w:eastAsia="fr-FR"/>
        </w:rPr>
        <w:t>اَلرئِيس</w:t>
      </w:r>
      <w:r w:rsidRPr="002E3039">
        <w:rPr>
          <w:rFonts w:asciiTheme="minorBidi" w:eastAsia="Times New Roman" w:hAnsiTheme="minorBidi" w:cs="Royal Arabic"/>
          <w:sz w:val="42"/>
          <w:szCs w:val="42"/>
          <w:shd w:val="clear" w:color="auto" w:fill="FFFFFF"/>
          <w:rtl/>
          <w:lang w:val="fr-CH" w:eastAsia="fr-FR"/>
        </w:rPr>
        <w:t>،</w:t>
      </w:r>
    </w:p>
    <w:sectPr w:rsidR="000E6E3D" w:rsidRPr="002E3039" w:rsidSect="00320377">
      <w:pgSz w:w="12240" w:h="15840"/>
      <w:pgMar w:top="2160" w:right="1138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Al Bayan Plain">
    <w:altName w:val="Times New Roman"/>
    <w:charset w:val="00"/>
    <w:family w:val="roman"/>
    <w:pitch w:val="default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E8"/>
    <w:rsid w:val="00055713"/>
    <w:rsid w:val="000E6E3D"/>
    <w:rsid w:val="002E3039"/>
    <w:rsid w:val="002E4C51"/>
    <w:rsid w:val="00320377"/>
    <w:rsid w:val="00506B71"/>
    <w:rsid w:val="00744276"/>
    <w:rsid w:val="00757A13"/>
    <w:rsid w:val="00BE4AE8"/>
    <w:rsid w:val="00DA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B2C2"/>
  <w15:chartTrackingRefBased/>
  <w15:docId w15:val="{932A7312-C5F7-41BF-AF69-2E4B89E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E4A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7C4E2-A74B-4C52-A8E2-6268D1BA3CED}"/>
</file>

<file path=customXml/itemProps2.xml><?xml version="1.0" encoding="utf-8"?>
<ds:datastoreItem xmlns:ds="http://schemas.openxmlformats.org/officeDocument/2006/customXml" ds:itemID="{4B27F31D-A798-482A-A3DA-7092CEDEDD9B}"/>
</file>

<file path=customXml/itemProps3.xml><?xml version="1.0" encoding="utf-8"?>
<ds:datastoreItem xmlns:ds="http://schemas.openxmlformats.org/officeDocument/2006/customXml" ds:itemID="{59D73943-2B95-4CE3-9427-041FA75D3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Abdltf. Baakdah</dc:creator>
  <cp:keywords/>
  <dc:description/>
  <cp:lastModifiedBy>Asya Abdltf. Baakdah</cp:lastModifiedBy>
  <cp:revision>7</cp:revision>
  <dcterms:created xsi:type="dcterms:W3CDTF">2022-11-02T14:33:00Z</dcterms:created>
  <dcterms:modified xsi:type="dcterms:W3CDTF">2022-11-07T14:08:00Z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