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rFonts w:ascii="Calibri" w:hAnsi="Calibri"/>
          <w:rtl w:val="0"/>
          <w:lang w:val="es-ES_tradnl"/>
        </w:rPr>
        <w:t>Intervenci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Costa Rica</w:t>
      </w:r>
      <w:r>
        <w:rPr>
          <w:rFonts w:ascii="Calibri" w:hAnsi="Calibri" w:hint="default"/>
          <w:rtl w:val="0"/>
          <w:lang w:val="es-ES_tradnl"/>
        </w:rPr>
        <w:t> </w:t>
      </w:r>
    </w:p>
    <w:p>
      <w:pPr>
        <w:pStyle w:val="paragraph"/>
        <w:spacing w:before="0" w:after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41 examen Peri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dico Universal</w:t>
      </w:r>
      <w:r>
        <w:rPr>
          <w:rFonts w:ascii="Calibri" w:hAnsi="Calibri" w:hint="default"/>
          <w:rtl w:val="0"/>
          <w:lang w:val="es-ES_tradnl"/>
        </w:rPr>
        <w:t> 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rFonts w:ascii="Calibri" w:hAnsi="Calibri"/>
          <w:rtl w:val="0"/>
          <w:lang w:val="es-ES_tradnl"/>
        </w:rPr>
        <w:t>Finlandia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rFonts w:ascii="Calibri" w:hAnsi="Calibri"/>
          <w:rtl w:val="0"/>
          <w:lang w:val="es-ES_tradnl"/>
        </w:rPr>
        <w:t>Mi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 xml:space="preserve">rcoles 9 de noviembre de 2022, 14:30 </w:t>
      </w:r>
      <w:r>
        <w:rPr>
          <w:rFonts w:ascii="Calibri" w:hAnsi="Calibri" w:hint="default"/>
          <w:rtl w:val="0"/>
          <w:lang w:val="es-ES_tradnl"/>
        </w:rPr>
        <w:t xml:space="preserve">– </w:t>
      </w:r>
      <w:r>
        <w:rPr>
          <w:rFonts w:ascii="Calibri" w:hAnsi="Calibri"/>
          <w:rtl w:val="0"/>
          <w:lang w:val="es-ES_tradnl"/>
        </w:rPr>
        <w:t>18:00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rFonts w:ascii="Calibri" w:hAnsi="Calibri"/>
          <w:rtl w:val="0"/>
          <w:lang w:val="es-ES_tradnl"/>
        </w:rPr>
        <w:t>Posici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22/ Tiempo 1 minuto 15 segundos</w:t>
      </w:r>
      <w:r>
        <w:rPr>
          <w:rFonts w:ascii="Calibri" w:hAnsi="Calibri" w:hint="default"/>
          <w:rtl w:val="0"/>
          <w:lang w:val="es-ES_tradnl"/>
        </w:rPr>
        <w:t>  </w:t>
      </w:r>
    </w:p>
    <w:p>
      <w:pPr>
        <w:pStyle w:val="Body"/>
        <w:rPr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Gracias Presidente</w:t>
      </w:r>
    </w:p>
    <w:p>
      <w:pPr>
        <w:pStyle w:val="Body"/>
        <w:jc w:val="both"/>
      </w:pPr>
      <w:r>
        <w:rPr>
          <w:rtl w:val="0"/>
          <w:lang w:val="es-ES_tradnl"/>
        </w:rPr>
        <w:t>Costa Rica agradece a la delegaci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Finlandia por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 cuarto informe y celebra los avances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 en materia de derechos humanos desde su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ltima revisi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Acogemos con benepl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cito la modificaci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en el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digo Penal, de la definici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atendiendo a recomendaciones del ciclo anterior.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congratulamos a Finlandia por anunciar que eliminar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-durante este oto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o- el requisito de un certificado de esterilidad como parte del proceso para reconocer la identidad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 de las personas trans.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s-ES_tradnl"/>
        </w:rPr>
        <w:t>Costa Rica extiende las siguientes recomendaciones:</w:t>
      </w:r>
      <w:r>
        <w:rPr>
          <w:rtl w:val="0"/>
          <w:lang w:val="es-ES_tradnl"/>
        </w:rPr>
        <w:t> </w:t>
      </w:r>
    </w:p>
    <w:p>
      <w:pPr>
        <w:pStyle w:val="Body"/>
        <w:jc w:val="both"/>
        <w:rPr>
          <w:rStyle w:val="eop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1.- Tomar las medidas necesarias para sensibilizar a la poblaci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sobre el derecho de objeci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conciencia al servicio militar y extender las</w:t>
      </w:r>
      <w:r>
        <w:rPr>
          <w:rStyle w:val="eop"/>
          <w:rtl w:val="0"/>
          <w:lang w:val="es-ES_tradnl"/>
        </w:rPr>
        <w:t xml:space="preserve"> posibilidades de prestar un servicio alternativo. </w:t>
      </w:r>
    </w:p>
    <w:p>
      <w:pPr>
        <w:pStyle w:val="Body"/>
        <w:jc w:val="both"/>
        <w:rPr>
          <w:rStyle w:val="eop"/>
          <w:lang w:val="es-ES_tradnl"/>
        </w:rPr>
      </w:pPr>
    </w:p>
    <w:p>
      <w:pPr>
        <w:pStyle w:val="Body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es-ES_tradnl"/>
        </w:rPr>
        <w:t>2.-</w:t>
      </w:r>
      <w:r>
        <w:rPr>
          <w:rStyle w:val="eop"/>
          <w:rtl w:val="0"/>
          <w:lang w:val="es-ES_tradnl"/>
        </w:rPr>
        <w:t>Fomentar la coordinaci</w:t>
      </w:r>
      <w:r>
        <w:rPr>
          <w:rStyle w:val="eop"/>
          <w:rtl w:val="0"/>
          <w:lang w:val="es-ES_tradnl"/>
        </w:rPr>
        <w:t>ó</w:t>
      </w:r>
      <w:r>
        <w:rPr>
          <w:rStyle w:val="eop"/>
          <w:rtl w:val="0"/>
          <w:lang w:val="es-ES_tradnl"/>
        </w:rPr>
        <w:t>n entre las distintas estructuras nacionales llamadas a asistir a mujeres y ni</w:t>
      </w:r>
      <w:r>
        <w:rPr>
          <w:rStyle w:val="eop"/>
          <w:rtl w:val="0"/>
          <w:lang w:val="es-ES_tradnl"/>
        </w:rPr>
        <w:t>ñ</w:t>
      </w:r>
      <w:r>
        <w:rPr>
          <w:rStyle w:val="eop"/>
          <w:rtl w:val="0"/>
          <w:lang w:val="es-ES_tradnl"/>
        </w:rPr>
        <w:t>as que escapan de  entornos  de violencia.</w:t>
      </w:r>
    </w:p>
    <w:p>
      <w:pPr>
        <w:pStyle w:val="Body"/>
        <w:jc w:val="both"/>
        <w:rPr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rStyle w:val="eop"/>
        </w:rPr>
      </w:pPr>
      <w:r>
        <w:rPr>
          <w:rtl w:val="0"/>
          <w:lang w:val="es-ES_tradnl"/>
        </w:rPr>
        <w:t>3.-</w:t>
      </w:r>
      <w:r>
        <w:rPr>
          <w:rStyle w:val="eop"/>
          <w:rtl w:val="0"/>
          <w:lang w:val="es-ES_tradnl"/>
        </w:rPr>
        <w:t>Reforzar las medidas para erradicar la pr</w:t>
      </w:r>
      <w:r>
        <w:rPr>
          <w:rStyle w:val="eop"/>
          <w:rtl w:val="0"/>
        </w:rPr>
        <w:t>á</w:t>
      </w:r>
      <w:r>
        <w:rPr>
          <w:rStyle w:val="eop"/>
          <w:rtl w:val="0"/>
          <w:lang w:val="es-ES_tradnl"/>
        </w:rPr>
        <w:t xml:space="preserve">ctica de perfilamiento </w:t>
      </w:r>
      <w:r>
        <w:rPr>
          <w:rStyle w:val="eop"/>
          <w:rtl w:val="0"/>
          <w:lang w:val="fr-FR"/>
        </w:rPr>
        <w:t>é</w:t>
      </w:r>
      <w:r>
        <w:rPr>
          <w:rStyle w:val="eop"/>
          <w:rtl w:val="0"/>
          <w:lang w:val="es-ES_tradnl"/>
        </w:rPr>
        <w:t xml:space="preserve">tnico por las fuerzas policiales y evitar tratos discriminatorios. </w:t>
      </w:r>
    </w:p>
    <w:p>
      <w:pPr>
        <w:pStyle w:val="Body"/>
        <w:rPr>
          <w:shd w:val="clear" w:color="auto" w:fill="ffff00"/>
          <w:lang w:val="es-ES_tradnl"/>
        </w:rPr>
      </w:pPr>
    </w:p>
    <w:p>
      <w:pPr>
        <w:pStyle w:val="Body"/>
        <w:rPr>
          <w:shd w:val="clear" w:color="auto" w:fill="ffff00"/>
        </w:rPr>
      </w:pPr>
      <w:r>
        <w:rPr>
          <w:rFonts w:cs="Arial Unicode MS" w:eastAsia="Arial Unicode MS"/>
          <w:rtl w:val="0"/>
          <w:lang w:val="es-ES_tradnl"/>
        </w:rPr>
        <w:t>4.-Adoptar</w:t>
      </w:r>
      <w:r>
        <w:rPr>
          <w:rStyle w:val="eop"/>
          <w:rFonts w:cs="Arial Unicode MS" w:eastAsia="Arial Unicode MS"/>
          <w:rtl w:val="0"/>
          <w:lang w:val="es-ES_tradnl"/>
        </w:rPr>
        <w:t xml:space="preserve"> medidas  para asegurar que los migrantes indocumentados tengan acceso efectivo a servicios de atenci</w:t>
      </w:r>
      <w:r>
        <w:rPr>
          <w:rStyle w:val="eop"/>
          <w:rFonts w:cs="Arial Unicode MS" w:eastAsia="Arial Unicode MS" w:hint="default"/>
          <w:rtl w:val="0"/>
          <w:lang w:val="es-ES_tradnl"/>
        </w:rPr>
        <w:t>ó</w:t>
      </w:r>
      <w:r>
        <w:rPr>
          <w:rStyle w:val="eop"/>
          <w:rFonts w:cs="Arial Unicode MS" w:eastAsia="Arial Unicode MS"/>
          <w:rtl w:val="0"/>
          <w:lang w:val="es-ES_tradnl"/>
        </w:rPr>
        <w:t>n de la salud asequibles y adecuados.</w:t>
      </w:r>
    </w:p>
    <w:p>
      <w:pPr>
        <w:pStyle w:val="Body"/>
        <w:rPr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40" w:after="40"/>
      </w:pPr>
      <w:r>
        <w:rPr>
          <w:rtl w:val="0"/>
          <w:lang w:val="es-ES_tradnl"/>
        </w:rPr>
        <w:t>1 minuto  5 segundos</w:t>
      </w:r>
      <w:r>
        <w:rPr>
          <w:rtl w:val="0"/>
          <w:lang w:val="es-ES_tradnl"/>
        </w:rPr>
        <w:t>  </w:t>
      </w:r>
    </w:p>
    <w:p>
      <w:pPr>
        <w:pStyle w:val="Body"/>
        <w:spacing w:before="40" w:after="40"/>
      </w:pPr>
      <w:r>
        <w:rPr>
          <w:rtl w:val="0"/>
          <w:lang w:val="es-ES_tradnl"/>
        </w:rPr>
        <w:t>180 palabras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  <w:rPr>
      <w:lang w:val="es-ES_trad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A5DB0-708E-4186-BC21-BA901751A702}"/>
</file>

<file path=customXml/itemProps2.xml><?xml version="1.0" encoding="utf-8"?>
<ds:datastoreItem xmlns:ds="http://schemas.openxmlformats.org/officeDocument/2006/customXml" ds:itemID="{A5741EE9-9A9D-40EF-81AC-563068B89A45}"/>
</file>

<file path=customXml/itemProps3.xml><?xml version="1.0" encoding="utf-8"?>
<ds:datastoreItem xmlns:ds="http://schemas.openxmlformats.org/officeDocument/2006/customXml" ds:itemID="{2619256B-8C36-481F-B204-5BD909D2809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