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D17" w14:textId="77777777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64A13C7" w14:textId="77777777" w:rsidR="003634AA" w:rsidRPr="00553461" w:rsidRDefault="003634AA" w:rsidP="00553461">
      <w:pPr>
        <w:tabs>
          <w:tab w:val="left" w:pos="12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5346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BE6E71" wp14:editId="659FB167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A84" w14:textId="797E6045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53461">
        <w:rPr>
          <w:rFonts w:ascii="Times New Roman" w:hAnsi="Times New Roman"/>
          <w:b/>
          <w:sz w:val="28"/>
          <w:szCs w:val="28"/>
          <w:lang w:val="en-GB"/>
        </w:rPr>
        <w:t>THE 40</w:t>
      </w:r>
      <w:r w:rsidRPr="00553461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 w:rsidRPr="00553461">
        <w:rPr>
          <w:rFonts w:ascii="Times New Roman" w:hAnsi="Times New Roman"/>
          <w:b/>
          <w:sz w:val="28"/>
          <w:szCs w:val="28"/>
          <w:lang w:val="en-GB"/>
        </w:rPr>
        <w:t xml:space="preserve"> SESSION OF THE UNIVERSAL PERIODIC REVIEW (UPR)</w:t>
      </w:r>
    </w:p>
    <w:p w14:paraId="5AFFBFE5" w14:textId="68F9720B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53461">
        <w:rPr>
          <w:rFonts w:ascii="Times New Roman" w:hAnsi="Times New Roman"/>
          <w:b/>
          <w:sz w:val="28"/>
          <w:szCs w:val="28"/>
          <w:lang w:val="en-GB"/>
        </w:rPr>
        <w:t>KENYA’S STATEMENT ON UGANDA</w:t>
      </w:r>
    </w:p>
    <w:p w14:paraId="20719B25" w14:textId="77777777" w:rsidR="003634AA" w:rsidRPr="00553461" w:rsidRDefault="00D8368C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pict w14:anchorId="13EDD1A9">
          <v:rect id="_x0000_i1025" style="width:468pt;height:1.5pt" o:hralign="center" o:hrstd="t" o:hr="t" fillcolor="#a0a0a0" stroked="f"/>
        </w:pict>
      </w:r>
    </w:p>
    <w:p w14:paraId="26F35C06" w14:textId="702B4FC0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53461">
        <w:rPr>
          <w:rFonts w:ascii="Times New Roman" w:hAnsi="Times New Roman"/>
          <w:b/>
          <w:sz w:val="28"/>
          <w:szCs w:val="28"/>
          <w:lang w:val="en-GB"/>
        </w:rPr>
        <w:t>Thank you, Mr. President,</w:t>
      </w:r>
    </w:p>
    <w:p w14:paraId="0BE83048" w14:textId="76C6E648" w:rsidR="00D8368C" w:rsidRDefault="003634AA" w:rsidP="005534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553461">
        <w:rPr>
          <w:rFonts w:ascii="Times New Roman" w:hAnsi="Times New Roman"/>
          <w:bCs/>
          <w:sz w:val="28"/>
          <w:szCs w:val="28"/>
          <w:lang w:val="en-GB"/>
        </w:rPr>
        <w:t xml:space="preserve">Kenya </w:t>
      </w:r>
      <w:r w:rsidR="00D8368C">
        <w:rPr>
          <w:rFonts w:ascii="Times New Roman" w:hAnsi="Times New Roman"/>
          <w:bCs/>
          <w:sz w:val="28"/>
          <w:szCs w:val="28"/>
          <w:lang w:val="en-GB"/>
        </w:rPr>
        <w:t xml:space="preserve">welcomes the distinguished delegation of Uganda, led by Hon. Odongo </w:t>
      </w:r>
      <w:proofErr w:type="spellStart"/>
      <w:r w:rsidR="00D8368C">
        <w:rPr>
          <w:rFonts w:ascii="Times New Roman" w:hAnsi="Times New Roman"/>
          <w:bCs/>
          <w:sz w:val="28"/>
          <w:szCs w:val="28"/>
          <w:lang w:val="en-GB"/>
        </w:rPr>
        <w:t>Jeje</w:t>
      </w:r>
      <w:proofErr w:type="spellEnd"/>
      <w:r w:rsidR="00D8368C">
        <w:rPr>
          <w:rFonts w:ascii="Times New Roman" w:hAnsi="Times New Roman"/>
          <w:bCs/>
          <w:sz w:val="28"/>
          <w:szCs w:val="28"/>
          <w:lang w:val="en-GB"/>
        </w:rPr>
        <w:t xml:space="preserve"> Abubakhar, Minister for Foreign Affairs, and congratulate Uganda on progress made in promoting and protecting human rights or its citizens since the Second cycle.</w:t>
      </w:r>
    </w:p>
    <w:p w14:paraId="477D55F6" w14:textId="77777777" w:rsidR="00D8368C" w:rsidRDefault="00D8368C" w:rsidP="005534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5A21B4CD" w14:textId="5F9BCAFB" w:rsidR="003634AA" w:rsidRDefault="00D8368C" w:rsidP="005534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W</w:t>
      </w:r>
      <w:r w:rsidR="003634AA" w:rsidRPr="00553461">
        <w:rPr>
          <w:rFonts w:ascii="Times New Roman" w:hAnsi="Times New Roman"/>
          <w:bCs/>
          <w:sz w:val="28"/>
          <w:szCs w:val="28"/>
          <w:lang w:val="en-GB"/>
        </w:rPr>
        <w:t>e commend Uganda for enacting the Persons with Disabilities Act, 2020 and efforts to enact into law the National Health Insurance Bill that will provide Universal Health Care for all.</w:t>
      </w:r>
    </w:p>
    <w:p w14:paraId="61DFB870" w14:textId="77777777" w:rsidR="00553461" w:rsidRPr="00553461" w:rsidRDefault="00553461" w:rsidP="0055346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67A7C20E" w14:textId="24F61B22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53461">
        <w:rPr>
          <w:rFonts w:ascii="Times New Roman" w:hAnsi="Times New Roman"/>
          <w:b/>
          <w:sz w:val="28"/>
          <w:szCs w:val="28"/>
          <w:lang w:val="en-GB"/>
        </w:rPr>
        <w:t>In the constructive spirit, Kenya makes the following recommendations</w:t>
      </w:r>
      <w:r w:rsidR="00D8368C">
        <w:rPr>
          <w:rFonts w:ascii="Times New Roman" w:hAnsi="Times New Roman"/>
          <w:b/>
          <w:sz w:val="28"/>
          <w:szCs w:val="28"/>
          <w:lang w:val="en-GB"/>
        </w:rPr>
        <w:t xml:space="preserve"> for consideration</w:t>
      </w:r>
      <w:r w:rsidRPr="00553461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</w:p>
    <w:p w14:paraId="38612805" w14:textId="77777777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9CC819B" w14:textId="7F2CCDCF" w:rsidR="003634AA" w:rsidRPr="00553461" w:rsidRDefault="00306809" w:rsidP="005534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553461">
        <w:rPr>
          <w:rFonts w:ascii="Times New Roman" w:hAnsi="Times New Roman"/>
          <w:sz w:val="28"/>
          <w:szCs w:val="28"/>
          <w:lang w:val="en-GB"/>
        </w:rPr>
        <w:t xml:space="preserve">Continue with efforts to improve health-care </w:t>
      </w:r>
      <w:r w:rsidR="00025345" w:rsidRPr="00553461">
        <w:rPr>
          <w:rFonts w:ascii="Times New Roman" w:hAnsi="Times New Roman"/>
          <w:sz w:val="28"/>
          <w:szCs w:val="28"/>
          <w:lang w:val="en-GB"/>
        </w:rPr>
        <w:t>access</w:t>
      </w:r>
      <w:r w:rsidRPr="00553461">
        <w:rPr>
          <w:rFonts w:ascii="Times New Roman" w:hAnsi="Times New Roman"/>
          <w:sz w:val="28"/>
          <w:szCs w:val="28"/>
          <w:lang w:val="en-GB"/>
        </w:rPr>
        <w:t xml:space="preserve"> for women from poor </w:t>
      </w:r>
      <w:r w:rsidR="00553461" w:rsidRPr="00553461">
        <w:rPr>
          <w:rFonts w:ascii="Times New Roman" w:hAnsi="Times New Roman"/>
          <w:sz w:val="28"/>
          <w:szCs w:val="28"/>
          <w:lang w:val="en-GB"/>
        </w:rPr>
        <w:t>and rural</w:t>
      </w:r>
      <w:r w:rsidRPr="00553461">
        <w:rPr>
          <w:rFonts w:ascii="Times New Roman" w:hAnsi="Times New Roman"/>
          <w:sz w:val="28"/>
          <w:szCs w:val="28"/>
          <w:lang w:val="en-GB"/>
        </w:rPr>
        <w:t xml:space="preserve"> backgrounds</w:t>
      </w:r>
    </w:p>
    <w:p w14:paraId="2594EE14" w14:textId="77777777" w:rsidR="003634AA" w:rsidRPr="00553461" w:rsidRDefault="003634AA" w:rsidP="00553461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FBFE947" w14:textId="4F0A030A" w:rsidR="001F015B" w:rsidRDefault="00025345" w:rsidP="001F01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553461">
        <w:rPr>
          <w:rFonts w:ascii="Times New Roman" w:hAnsi="Times New Roman"/>
          <w:sz w:val="28"/>
          <w:szCs w:val="28"/>
          <w:lang w:val="en-GB"/>
        </w:rPr>
        <w:t xml:space="preserve">Enhance </w:t>
      </w:r>
      <w:r w:rsidR="00553461" w:rsidRPr="00553461">
        <w:rPr>
          <w:rFonts w:ascii="Times New Roman" w:hAnsi="Times New Roman"/>
          <w:sz w:val="28"/>
          <w:szCs w:val="28"/>
          <w:lang w:val="en-GB"/>
        </w:rPr>
        <w:t>s</w:t>
      </w:r>
      <w:r w:rsidRPr="00553461">
        <w:rPr>
          <w:rFonts w:ascii="Times New Roman" w:hAnsi="Times New Roman"/>
          <w:sz w:val="28"/>
          <w:szCs w:val="28"/>
          <w:lang w:val="en-GB"/>
        </w:rPr>
        <w:t xml:space="preserve">upport </w:t>
      </w:r>
      <w:r w:rsidR="00D8368C">
        <w:rPr>
          <w:rFonts w:ascii="Times New Roman" w:hAnsi="Times New Roman"/>
          <w:sz w:val="28"/>
          <w:szCs w:val="28"/>
          <w:lang w:val="en-GB"/>
        </w:rPr>
        <w:t>for survivors of</w:t>
      </w:r>
      <w:r w:rsidR="00553461" w:rsidRPr="0055346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8368C">
        <w:rPr>
          <w:rFonts w:ascii="Times New Roman" w:hAnsi="Times New Roman"/>
          <w:sz w:val="28"/>
          <w:szCs w:val="28"/>
          <w:lang w:val="en-GB"/>
        </w:rPr>
        <w:t>Sexual and Gender Based Violence (</w:t>
      </w:r>
      <w:r w:rsidR="00553461" w:rsidRPr="00553461">
        <w:rPr>
          <w:rFonts w:ascii="Times New Roman" w:hAnsi="Times New Roman"/>
          <w:sz w:val="28"/>
          <w:szCs w:val="28"/>
          <w:lang w:val="en-GB"/>
        </w:rPr>
        <w:t>SGBV</w:t>
      </w:r>
      <w:r w:rsidR="00D8368C">
        <w:rPr>
          <w:rFonts w:ascii="Times New Roman" w:hAnsi="Times New Roman"/>
          <w:sz w:val="28"/>
          <w:szCs w:val="28"/>
          <w:lang w:val="en-GB"/>
        </w:rPr>
        <w:t xml:space="preserve">), </w:t>
      </w:r>
      <w:r w:rsidR="00D8368C" w:rsidRPr="00553461">
        <w:rPr>
          <w:rFonts w:ascii="Times New Roman" w:hAnsi="Times New Roman"/>
          <w:sz w:val="28"/>
          <w:szCs w:val="28"/>
          <w:lang w:val="en-GB"/>
        </w:rPr>
        <w:t>especially</w:t>
      </w:r>
      <w:r w:rsidR="00553461" w:rsidRPr="00553461">
        <w:rPr>
          <w:rFonts w:ascii="Times New Roman" w:hAnsi="Times New Roman"/>
          <w:sz w:val="28"/>
          <w:szCs w:val="28"/>
          <w:lang w:val="en-GB"/>
        </w:rPr>
        <w:t xml:space="preserve"> girls and young women on referral systems</w:t>
      </w:r>
    </w:p>
    <w:p w14:paraId="235F90F4" w14:textId="77777777" w:rsidR="001F015B" w:rsidRPr="00D454D2" w:rsidRDefault="001F015B" w:rsidP="00D454D2">
      <w:pPr>
        <w:pStyle w:val="ListParagraph"/>
        <w:rPr>
          <w:rFonts w:ascii="Times New Roman" w:hAnsi="Times New Roman"/>
          <w:sz w:val="28"/>
          <w:szCs w:val="28"/>
          <w:lang w:val="en-GB"/>
        </w:rPr>
      </w:pPr>
    </w:p>
    <w:p w14:paraId="4D99E128" w14:textId="77777777" w:rsidR="001F015B" w:rsidRPr="00D454D2" w:rsidRDefault="001F015B" w:rsidP="00D454D2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194C907" w14:textId="409FDE3F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553461">
        <w:rPr>
          <w:rFonts w:ascii="Times New Roman" w:hAnsi="Times New Roman"/>
          <w:sz w:val="28"/>
          <w:szCs w:val="28"/>
          <w:lang w:val="en-GB"/>
        </w:rPr>
        <w:t>Kenya wishes the delegation of the Uganda a successful UPR review.</w:t>
      </w:r>
    </w:p>
    <w:p w14:paraId="73F0FA97" w14:textId="77777777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ECA662B" w14:textId="77777777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553461"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</w:p>
    <w:p w14:paraId="2B17929B" w14:textId="77777777" w:rsidR="003634AA" w:rsidRPr="00553461" w:rsidRDefault="003634AA" w:rsidP="005534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634AA" w:rsidRPr="0055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BC0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AA"/>
    <w:rsid w:val="00025345"/>
    <w:rsid w:val="001F015B"/>
    <w:rsid w:val="00306809"/>
    <w:rsid w:val="003634AA"/>
    <w:rsid w:val="00553461"/>
    <w:rsid w:val="00D454D2"/>
    <w:rsid w:val="00D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BA3B"/>
  <w15:chartTrackingRefBased/>
  <w15:docId w15:val="{30A877AD-C31E-4E8C-9C5C-BA9B6FD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AA"/>
    <w:pPr>
      <w:ind w:left="720"/>
      <w:contextualSpacing/>
    </w:pPr>
  </w:style>
  <w:style w:type="paragraph" w:styleId="Revision">
    <w:name w:val="Revision"/>
    <w:hidden/>
    <w:uiPriority w:val="99"/>
    <w:semiHidden/>
    <w:rsid w:val="001F01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D254B-171B-4F09-9DDB-77521030E91C}"/>
</file>

<file path=customXml/itemProps2.xml><?xml version="1.0" encoding="utf-8"?>
<ds:datastoreItem xmlns:ds="http://schemas.openxmlformats.org/officeDocument/2006/customXml" ds:itemID="{AC9A839A-C3A4-4C55-9A22-9EEF282FA998}"/>
</file>

<file path=customXml/itemProps3.xml><?xml version="1.0" encoding="utf-8"?>
<ds:datastoreItem xmlns:ds="http://schemas.openxmlformats.org/officeDocument/2006/customXml" ds:itemID="{6041C070-231F-494D-9E98-07C30B125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4</cp:revision>
  <dcterms:created xsi:type="dcterms:W3CDTF">2022-01-21T13:52:00Z</dcterms:created>
  <dcterms:modified xsi:type="dcterms:W3CDTF">2022-01-26T13:52:00Z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