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A77E" w14:textId="77777777" w:rsidR="00EB6684" w:rsidRPr="00EB6684" w:rsidRDefault="00EB6684" w:rsidP="00235CEF">
      <w:pPr>
        <w:tabs>
          <w:tab w:val="left" w:pos="127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684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7ADE75A6" wp14:editId="43546C86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D4A5D" w14:textId="77777777" w:rsidR="00EB6684" w:rsidRPr="00EB6684" w:rsidRDefault="00EB6684" w:rsidP="00EB66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6684">
        <w:rPr>
          <w:rFonts w:ascii="Times New Roman" w:hAnsi="Times New Roman"/>
          <w:b/>
          <w:sz w:val="28"/>
          <w:szCs w:val="28"/>
        </w:rPr>
        <w:t>THE 40</w:t>
      </w:r>
      <w:r w:rsidRPr="00EB6684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EB6684">
        <w:rPr>
          <w:rFonts w:ascii="Times New Roman" w:hAnsi="Times New Roman"/>
          <w:b/>
          <w:sz w:val="28"/>
          <w:szCs w:val="28"/>
        </w:rPr>
        <w:t xml:space="preserve"> SESSION OF THE UNIVERSAL PERIODIC REVIEW (UPR)</w:t>
      </w:r>
    </w:p>
    <w:p w14:paraId="409AB777" w14:textId="5BD0B33D" w:rsidR="00EB6684" w:rsidRPr="00EB6684" w:rsidRDefault="00EB6684" w:rsidP="00EB66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6684">
        <w:rPr>
          <w:rFonts w:ascii="Times New Roman" w:hAnsi="Times New Roman"/>
          <w:b/>
          <w:sz w:val="28"/>
          <w:szCs w:val="28"/>
        </w:rPr>
        <w:t xml:space="preserve">KENYA’S STATEMENT ON </w:t>
      </w:r>
      <w:r w:rsidR="00E3043A" w:rsidRPr="00ED008E">
        <w:rPr>
          <w:rFonts w:ascii="Times New Roman" w:hAnsi="Times New Roman"/>
          <w:b/>
          <w:sz w:val="28"/>
          <w:szCs w:val="28"/>
        </w:rPr>
        <w:t>SOUTH SUDAN</w:t>
      </w:r>
    </w:p>
    <w:p w14:paraId="0A7D1671" w14:textId="77777777" w:rsidR="00EB6684" w:rsidRPr="00EB6684" w:rsidRDefault="0055099D" w:rsidP="00EB66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63C49025">
          <v:rect id="_x0000_i1025" style="width:468pt;height:1.5pt" o:hralign="center" o:hrstd="t" o:hr="t" fillcolor="#a0a0a0" stroked="f"/>
        </w:pict>
      </w:r>
    </w:p>
    <w:p w14:paraId="2BAA5130" w14:textId="6254F5C5" w:rsidR="00235CEF" w:rsidRPr="00EB6684" w:rsidRDefault="00EB6684" w:rsidP="00EB66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6684">
        <w:rPr>
          <w:rFonts w:ascii="Times New Roman" w:hAnsi="Times New Roman"/>
          <w:b/>
          <w:sz w:val="28"/>
          <w:szCs w:val="28"/>
        </w:rPr>
        <w:t>Thank you, Mr. President,</w:t>
      </w:r>
    </w:p>
    <w:p w14:paraId="29BC98DA" w14:textId="1C7B80B1" w:rsidR="007A4D40" w:rsidRDefault="00EB6684" w:rsidP="00EB668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D008E">
        <w:rPr>
          <w:rFonts w:ascii="Times New Roman" w:hAnsi="Times New Roman"/>
          <w:bCs/>
          <w:sz w:val="28"/>
          <w:szCs w:val="28"/>
        </w:rPr>
        <w:t xml:space="preserve">Kenya </w:t>
      </w:r>
      <w:r w:rsidR="007A4D40">
        <w:rPr>
          <w:rFonts w:ascii="Times New Roman" w:hAnsi="Times New Roman"/>
          <w:bCs/>
          <w:sz w:val="28"/>
          <w:szCs w:val="28"/>
        </w:rPr>
        <w:t>warmly welcomes the distinguished delegation of South Sudan, led by Hon. Justice Ruben Madol Arol, Minister for Justice and Constitutional Affairs to this 2</w:t>
      </w:r>
      <w:r w:rsidR="007A4D40" w:rsidRPr="00674D2D">
        <w:rPr>
          <w:rFonts w:ascii="Times New Roman" w:hAnsi="Times New Roman"/>
          <w:bCs/>
          <w:sz w:val="28"/>
          <w:szCs w:val="28"/>
          <w:vertAlign w:val="superscript"/>
        </w:rPr>
        <w:t>nd</w:t>
      </w:r>
      <w:r w:rsidR="007A4D40">
        <w:rPr>
          <w:rFonts w:ascii="Times New Roman" w:hAnsi="Times New Roman"/>
          <w:bCs/>
          <w:sz w:val="28"/>
          <w:szCs w:val="28"/>
        </w:rPr>
        <w:t xml:space="preserve"> Cycle of its UPR.</w:t>
      </w:r>
    </w:p>
    <w:p w14:paraId="23562ED0" w14:textId="77777777" w:rsidR="007A4D40" w:rsidRDefault="007A4D40" w:rsidP="00EB668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0468AA9" w14:textId="77777777" w:rsidR="00674D2D" w:rsidRDefault="00453DAC" w:rsidP="00EB6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EB6684" w:rsidRPr="00ED008E">
        <w:rPr>
          <w:rFonts w:ascii="Times New Roman" w:hAnsi="Times New Roman"/>
          <w:sz w:val="28"/>
          <w:szCs w:val="28"/>
        </w:rPr>
        <w:t xml:space="preserve">e </w:t>
      </w:r>
      <w:r w:rsidR="007A4D40">
        <w:rPr>
          <w:rFonts w:ascii="Times New Roman" w:hAnsi="Times New Roman"/>
          <w:sz w:val="28"/>
          <w:szCs w:val="28"/>
        </w:rPr>
        <w:t>applaud</w:t>
      </w:r>
      <w:r w:rsidR="00EB6684" w:rsidRPr="00ED0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South Sudan for progress made to promote human rights since the first ever UPR review in 2016, including, </w:t>
      </w:r>
      <w:r w:rsidR="00EB6684" w:rsidRPr="00ED008E">
        <w:rPr>
          <w:rFonts w:ascii="Times New Roman" w:hAnsi="Times New Roman"/>
          <w:sz w:val="28"/>
          <w:szCs w:val="28"/>
        </w:rPr>
        <w:t xml:space="preserve">establishing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EB6684" w:rsidRPr="00ED008E">
        <w:rPr>
          <w:rFonts w:ascii="Times New Roman" w:hAnsi="Times New Roman"/>
          <w:sz w:val="28"/>
          <w:szCs w:val="28"/>
        </w:rPr>
        <w:t>juvenile and</w:t>
      </w:r>
      <w:r w:rsidR="007A4D40">
        <w:rPr>
          <w:rFonts w:ascii="Times New Roman" w:hAnsi="Times New Roman"/>
          <w:sz w:val="28"/>
          <w:szCs w:val="28"/>
        </w:rPr>
        <w:t xml:space="preserve"> Gender Based Violence</w:t>
      </w:r>
      <w:r w:rsidR="00EB6684" w:rsidRPr="00ED008E">
        <w:rPr>
          <w:rFonts w:ascii="Times New Roman" w:hAnsi="Times New Roman"/>
          <w:sz w:val="28"/>
          <w:szCs w:val="28"/>
        </w:rPr>
        <w:t xml:space="preserve"> </w:t>
      </w:r>
      <w:r w:rsidR="007A4D40">
        <w:rPr>
          <w:rFonts w:ascii="Times New Roman" w:hAnsi="Times New Roman"/>
          <w:sz w:val="28"/>
          <w:szCs w:val="28"/>
        </w:rPr>
        <w:t>(</w:t>
      </w:r>
      <w:r w:rsidR="00EB6684" w:rsidRPr="00ED008E">
        <w:rPr>
          <w:rFonts w:ascii="Times New Roman" w:hAnsi="Times New Roman"/>
          <w:sz w:val="28"/>
          <w:szCs w:val="28"/>
        </w:rPr>
        <w:t>GBV</w:t>
      </w:r>
      <w:r w:rsidR="007A4D40">
        <w:rPr>
          <w:rFonts w:ascii="Times New Roman" w:hAnsi="Times New Roman"/>
          <w:sz w:val="28"/>
          <w:szCs w:val="28"/>
        </w:rPr>
        <w:t>)</w:t>
      </w:r>
      <w:r w:rsidR="00EB6684" w:rsidRPr="00ED008E">
        <w:rPr>
          <w:rFonts w:ascii="Times New Roman" w:hAnsi="Times New Roman"/>
          <w:sz w:val="28"/>
          <w:szCs w:val="28"/>
        </w:rPr>
        <w:t xml:space="preserve"> </w:t>
      </w:r>
      <w:r w:rsidR="003B5D36" w:rsidRPr="00ED008E">
        <w:rPr>
          <w:rFonts w:ascii="Times New Roman" w:hAnsi="Times New Roman"/>
          <w:sz w:val="28"/>
          <w:szCs w:val="28"/>
        </w:rPr>
        <w:t>courts, with</w:t>
      </w:r>
      <w:r w:rsidR="00EB6684" w:rsidRPr="00ED008E">
        <w:rPr>
          <w:rFonts w:ascii="Times New Roman" w:hAnsi="Times New Roman"/>
          <w:sz w:val="28"/>
          <w:szCs w:val="28"/>
        </w:rPr>
        <w:t xml:space="preserve"> special focus </w:t>
      </w:r>
      <w:r w:rsidR="00ED008E" w:rsidRPr="00ED008E">
        <w:rPr>
          <w:rFonts w:ascii="Times New Roman" w:hAnsi="Times New Roman"/>
          <w:sz w:val="28"/>
          <w:szCs w:val="28"/>
        </w:rPr>
        <w:t>on prosecution</w:t>
      </w:r>
      <w:r w:rsidR="00E3043A" w:rsidRPr="00ED008E">
        <w:rPr>
          <w:rFonts w:ascii="Times New Roman" w:hAnsi="Times New Roman"/>
          <w:sz w:val="28"/>
          <w:szCs w:val="28"/>
        </w:rPr>
        <w:t xml:space="preserve"> of sexual and gender-based </w:t>
      </w:r>
      <w:r w:rsidR="00ED008E" w:rsidRPr="00ED008E">
        <w:rPr>
          <w:rFonts w:ascii="Times New Roman" w:hAnsi="Times New Roman"/>
          <w:sz w:val="28"/>
          <w:szCs w:val="28"/>
        </w:rPr>
        <w:t>violence cases</w:t>
      </w:r>
      <w:r>
        <w:rPr>
          <w:rFonts w:ascii="Times New Roman" w:hAnsi="Times New Roman"/>
          <w:sz w:val="28"/>
          <w:szCs w:val="28"/>
        </w:rPr>
        <w:t>,</w:t>
      </w:r>
      <w:r w:rsidR="00235CEF">
        <w:rPr>
          <w:rFonts w:ascii="Times New Roman" w:hAnsi="Times New Roman"/>
          <w:sz w:val="28"/>
          <w:szCs w:val="28"/>
        </w:rPr>
        <w:t xml:space="preserve"> </w:t>
      </w:r>
      <w:r w:rsidR="00ED008E" w:rsidRPr="00ED008E">
        <w:rPr>
          <w:rFonts w:ascii="Times New Roman" w:hAnsi="Times New Roman"/>
          <w:sz w:val="28"/>
          <w:szCs w:val="28"/>
        </w:rPr>
        <w:t>enforcing the Child Act to support pregnant girls and young mothers to attend school</w:t>
      </w:r>
      <w:r>
        <w:rPr>
          <w:rFonts w:ascii="Times New Roman" w:hAnsi="Times New Roman"/>
          <w:sz w:val="28"/>
          <w:szCs w:val="28"/>
        </w:rPr>
        <w:t>, among other initiatives</w:t>
      </w:r>
      <w:r w:rsidR="00ED008E" w:rsidRPr="00ED008E">
        <w:rPr>
          <w:rFonts w:ascii="Times New Roman" w:hAnsi="Times New Roman"/>
          <w:sz w:val="28"/>
          <w:szCs w:val="28"/>
        </w:rPr>
        <w:t>.</w:t>
      </w:r>
      <w:r w:rsidR="00BC062F">
        <w:rPr>
          <w:rFonts w:ascii="Times New Roman" w:hAnsi="Times New Roman"/>
          <w:sz w:val="28"/>
          <w:szCs w:val="28"/>
        </w:rPr>
        <w:t xml:space="preserve"> </w:t>
      </w:r>
    </w:p>
    <w:p w14:paraId="56E32024" w14:textId="77777777" w:rsidR="00674D2D" w:rsidRDefault="00674D2D" w:rsidP="00EB6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776452A" w14:textId="5D42632A" w:rsidR="00ED008E" w:rsidRDefault="00BC062F" w:rsidP="00EB6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Kenya believes that South Sudan will continue to walk the positive journey to promote the human rights of her peoples.</w:t>
      </w:r>
    </w:p>
    <w:p w14:paraId="225D49E0" w14:textId="77777777" w:rsidR="00235CEF" w:rsidRPr="00ED008E" w:rsidRDefault="00235CEF" w:rsidP="00EB6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FC2B70" w14:textId="429CBC1A" w:rsidR="00EB6684" w:rsidRPr="00ED008E" w:rsidRDefault="00EB6684" w:rsidP="00EB66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008E">
        <w:rPr>
          <w:rFonts w:ascii="Times New Roman" w:hAnsi="Times New Roman"/>
          <w:b/>
          <w:sz w:val="28"/>
          <w:szCs w:val="28"/>
        </w:rPr>
        <w:t xml:space="preserve"> Kenya recommends the following</w:t>
      </w:r>
      <w:r w:rsidR="007A4D40">
        <w:rPr>
          <w:rFonts w:ascii="Times New Roman" w:hAnsi="Times New Roman"/>
          <w:b/>
          <w:sz w:val="28"/>
          <w:szCs w:val="28"/>
        </w:rPr>
        <w:t xml:space="preserve"> for consideration</w:t>
      </w:r>
      <w:r w:rsidRPr="00ED008E">
        <w:rPr>
          <w:rFonts w:ascii="Times New Roman" w:hAnsi="Times New Roman"/>
          <w:b/>
          <w:sz w:val="28"/>
          <w:szCs w:val="28"/>
        </w:rPr>
        <w:t xml:space="preserve">: </w:t>
      </w:r>
    </w:p>
    <w:p w14:paraId="061B88EA" w14:textId="6E540836" w:rsidR="00235CEF" w:rsidRDefault="00235CEF" w:rsidP="00235CEF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Increase efforts to improve health care system, including access to health facilities and other resources for maternal health.</w:t>
      </w:r>
    </w:p>
    <w:p w14:paraId="343357B2" w14:textId="326C002C" w:rsidR="00235CEF" w:rsidRPr="00674D2D" w:rsidRDefault="00235CEF" w:rsidP="00674D2D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Ratify the International Covenant on Civil and Political Rights (ICCPR)</w:t>
      </w:r>
    </w:p>
    <w:p w14:paraId="719B7DED" w14:textId="73365303" w:rsidR="00EB6684" w:rsidRPr="00235CEF" w:rsidRDefault="00EB6684" w:rsidP="00235CEF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35CEF">
        <w:rPr>
          <w:rFonts w:ascii="Times New Roman" w:hAnsi="Times New Roman"/>
          <w:sz w:val="28"/>
          <w:szCs w:val="28"/>
        </w:rPr>
        <w:t>Kenya wishes the delegation of South Sudan a successful UPR.</w:t>
      </w:r>
    </w:p>
    <w:p w14:paraId="22F69B8D" w14:textId="67C7B8CD" w:rsidR="00EB6684" w:rsidRPr="00ED008E" w:rsidRDefault="00EB6684">
      <w:pPr>
        <w:rPr>
          <w:rFonts w:ascii="Times New Roman" w:hAnsi="Times New Roman"/>
          <w:b/>
          <w:bCs/>
          <w:sz w:val="28"/>
          <w:szCs w:val="28"/>
        </w:rPr>
      </w:pPr>
      <w:r w:rsidRPr="00ED008E">
        <w:rPr>
          <w:rFonts w:ascii="Times New Roman" w:hAnsi="Times New Roman"/>
          <w:b/>
          <w:bCs/>
          <w:sz w:val="28"/>
          <w:szCs w:val="28"/>
        </w:rPr>
        <w:t>I thank you</w:t>
      </w:r>
    </w:p>
    <w:sectPr w:rsidR="00EB6684" w:rsidRPr="00ED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0BC0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/>
      </w:rPr>
    </w:lvl>
    <w:lvl w:ilvl="1" w:tplc="04090003">
      <w:numFmt w:val="decimal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8BE318F"/>
    <w:multiLevelType w:val="hybridMultilevel"/>
    <w:tmpl w:val="609C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C5523"/>
    <w:multiLevelType w:val="hybridMultilevel"/>
    <w:tmpl w:val="72EC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B0566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numFmt w:val="decimal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84"/>
    <w:rsid w:val="001D15F8"/>
    <w:rsid w:val="00235CEF"/>
    <w:rsid w:val="003B5D36"/>
    <w:rsid w:val="00453DAC"/>
    <w:rsid w:val="0055099D"/>
    <w:rsid w:val="00674D2D"/>
    <w:rsid w:val="007A4D40"/>
    <w:rsid w:val="00B7358A"/>
    <w:rsid w:val="00BC062F"/>
    <w:rsid w:val="00CC14AE"/>
    <w:rsid w:val="00E3043A"/>
    <w:rsid w:val="00EB6684"/>
    <w:rsid w:val="00ED008E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7CFA"/>
  <w15:chartTrackingRefBased/>
  <w15:docId w15:val="{E9D6488A-BE11-452B-A4C2-4F43856C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84"/>
    <w:pPr>
      <w:spacing w:line="254" w:lineRule="auto"/>
    </w:pPr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84"/>
    <w:pPr>
      <w:ind w:left="720"/>
      <w:contextualSpacing/>
    </w:pPr>
  </w:style>
  <w:style w:type="paragraph" w:styleId="Revision">
    <w:name w:val="Revision"/>
    <w:hidden/>
    <w:uiPriority w:val="99"/>
    <w:semiHidden/>
    <w:rsid w:val="00B7358A"/>
    <w:pPr>
      <w:spacing w:after="0" w:line="240" w:lineRule="auto"/>
    </w:pPr>
    <w:rPr>
      <w:rFonts w:ascii="Book Antiqua" w:eastAsia="Calibri" w:hAnsi="Book Antiqu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14FE1-E764-4550-A1CE-F5BA3D78B6BA}"/>
</file>

<file path=customXml/itemProps2.xml><?xml version="1.0" encoding="utf-8"?>
<ds:datastoreItem xmlns:ds="http://schemas.openxmlformats.org/officeDocument/2006/customXml" ds:itemID="{F3C4BE87-0CE0-4371-8C4C-AC5DD7E2BAD6}"/>
</file>

<file path=customXml/itemProps3.xml><?xml version="1.0" encoding="utf-8"?>
<ds:datastoreItem xmlns:ds="http://schemas.openxmlformats.org/officeDocument/2006/customXml" ds:itemID="{FBFAF445-263A-4DC4-9EBE-B976565FE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2</cp:revision>
  <dcterms:created xsi:type="dcterms:W3CDTF">2022-01-28T13:07:00Z</dcterms:created>
  <dcterms:modified xsi:type="dcterms:W3CDTF">2022-01-28T13:07:00Z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