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33454A" w14:textId="77777777" w:rsidR="009748AC" w:rsidRPr="009748AC" w:rsidRDefault="009748AC" w:rsidP="009748AC">
      <w:pPr>
        <w:spacing w:line="360" w:lineRule="auto"/>
        <w:jc w:val="center"/>
        <w:rPr>
          <w:rFonts w:ascii="Arial" w:hAnsi="Arial" w:cs="Arial"/>
          <w:b/>
          <w:bCs/>
          <w:lang w:val="fr-CH"/>
        </w:rPr>
      </w:pPr>
      <w:r w:rsidRPr="009748AC">
        <w:rPr>
          <w:rFonts w:ascii="Arial" w:hAnsi="Arial" w:cs="Arial"/>
          <w:noProof/>
          <w:lang w:val="fr-CH" w:eastAsia="fr-CH"/>
        </w:rPr>
        <w:drawing>
          <wp:inline distT="0" distB="0" distL="0" distR="0" wp14:anchorId="671A6E1C" wp14:editId="7BFF10C5">
            <wp:extent cx="762000" cy="118110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F0357A" w14:textId="77777777" w:rsidR="009748AC" w:rsidRPr="009748AC" w:rsidRDefault="009748AC" w:rsidP="00B226C4">
      <w:pPr>
        <w:spacing w:line="360" w:lineRule="auto"/>
        <w:jc w:val="both"/>
        <w:rPr>
          <w:rFonts w:ascii="Arial" w:hAnsi="Arial" w:cs="Arial"/>
          <w:b/>
          <w:bCs/>
          <w:lang w:val="fr-CH"/>
        </w:rPr>
      </w:pPr>
    </w:p>
    <w:p w14:paraId="72EB9A86" w14:textId="77777777" w:rsidR="009748AC" w:rsidRPr="009748AC" w:rsidRDefault="009748AC" w:rsidP="009748AC">
      <w:pPr>
        <w:pStyle w:val="NoSpacing"/>
        <w:rPr>
          <w:rFonts w:ascii="Arial" w:hAnsi="Arial" w:cs="Arial"/>
          <w:b/>
          <w:sz w:val="24"/>
          <w:szCs w:val="24"/>
        </w:rPr>
      </w:pPr>
      <w:r w:rsidRPr="009748AC">
        <w:rPr>
          <w:rFonts w:ascii="Arial" w:hAnsi="Arial" w:cs="Arial"/>
          <w:b/>
          <w:sz w:val="24"/>
          <w:szCs w:val="24"/>
        </w:rPr>
        <w:t>Statement by India at the Universal Periodic Review (UPR) Working Group 40</w:t>
      </w:r>
      <w:r w:rsidRPr="009748AC"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9748AC">
        <w:rPr>
          <w:rFonts w:ascii="Arial" w:hAnsi="Arial" w:cs="Arial"/>
          <w:b/>
          <w:sz w:val="24"/>
          <w:szCs w:val="24"/>
        </w:rPr>
        <w:t xml:space="preserve"> Session (24 January – 04 February 2022) : 3rd UPR of Tim</w:t>
      </w:r>
      <w:bookmarkStart w:id="0" w:name="_GoBack"/>
      <w:bookmarkEnd w:id="0"/>
      <w:r w:rsidRPr="009748AC">
        <w:rPr>
          <w:rFonts w:ascii="Arial" w:hAnsi="Arial" w:cs="Arial"/>
          <w:b/>
          <w:sz w:val="24"/>
          <w:szCs w:val="24"/>
        </w:rPr>
        <w:t xml:space="preserve">or-Leste - Interactive Dialogue, delivered by Ms. Seema </w:t>
      </w:r>
      <w:proofErr w:type="spellStart"/>
      <w:r w:rsidRPr="009748AC">
        <w:rPr>
          <w:rFonts w:ascii="Arial" w:hAnsi="Arial" w:cs="Arial"/>
          <w:b/>
          <w:sz w:val="24"/>
          <w:szCs w:val="24"/>
        </w:rPr>
        <w:t>Pujani</w:t>
      </w:r>
      <w:proofErr w:type="spellEnd"/>
      <w:r w:rsidRPr="009748AC">
        <w:rPr>
          <w:rFonts w:ascii="Arial" w:hAnsi="Arial" w:cs="Arial"/>
          <w:b/>
          <w:sz w:val="24"/>
          <w:szCs w:val="24"/>
        </w:rPr>
        <w:t>, First Secretary, Permanent Mission of India [Geneva, 27 January 2022]</w:t>
      </w:r>
    </w:p>
    <w:p w14:paraId="58C3D7A5" w14:textId="60F5D4C3" w:rsidR="00B226C4" w:rsidRPr="009748AC" w:rsidRDefault="00B226C4" w:rsidP="00B226C4">
      <w:pPr>
        <w:spacing w:line="360" w:lineRule="auto"/>
        <w:jc w:val="both"/>
        <w:rPr>
          <w:rFonts w:ascii="Arial" w:hAnsi="Arial" w:cs="Arial"/>
          <w:lang w:val="en-GB"/>
        </w:rPr>
      </w:pPr>
      <w:r w:rsidRPr="009748AC">
        <w:rPr>
          <w:rFonts w:ascii="Arial" w:hAnsi="Arial" w:cs="Arial"/>
          <w:b/>
          <w:bCs/>
          <w:lang w:val="en-GB"/>
        </w:rPr>
        <w:br/>
      </w:r>
      <w:r w:rsidR="005F55D1" w:rsidRPr="009748AC">
        <w:rPr>
          <w:rFonts w:ascii="Arial" w:hAnsi="Arial" w:cs="Arial"/>
          <w:b/>
          <w:bCs/>
          <w:lang w:val="en-GB"/>
        </w:rPr>
        <w:t>Mr.</w:t>
      </w:r>
      <w:r w:rsidRPr="009748AC">
        <w:rPr>
          <w:rFonts w:ascii="Arial" w:hAnsi="Arial" w:cs="Arial"/>
          <w:b/>
          <w:bCs/>
          <w:lang w:val="en-GB"/>
        </w:rPr>
        <w:t xml:space="preserve"> President</w:t>
      </w:r>
      <w:r w:rsidRPr="009748AC">
        <w:rPr>
          <w:rFonts w:ascii="Arial" w:hAnsi="Arial" w:cs="Arial"/>
          <w:lang w:val="en-GB"/>
        </w:rPr>
        <w:t>,</w:t>
      </w:r>
    </w:p>
    <w:p w14:paraId="6C34C974" w14:textId="14F1D79C" w:rsidR="00B226C4" w:rsidRPr="009748AC" w:rsidRDefault="00B226C4" w:rsidP="00B226C4">
      <w:pPr>
        <w:spacing w:line="360" w:lineRule="auto"/>
        <w:jc w:val="both"/>
        <w:rPr>
          <w:rFonts w:ascii="Arial" w:hAnsi="Arial" w:cs="Arial"/>
          <w:lang w:val="en-GB"/>
        </w:rPr>
      </w:pPr>
      <w:r w:rsidRPr="009748AC">
        <w:rPr>
          <w:rFonts w:ascii="Arial" w:hAnsi="Arial" w:cs="Arial"/>
          <w:lang w:val="en-GB"/>
        </w:rPr>
        <w:br/>
        <w:t xml:space="preserve">We warmly welcome the presentation by the delegation of </w:t>
      </w:r>
      <w:r w:rsidR="008A56BE" w:rsidRPr="009748AC">
        <w:rPr>
          <w:rFonts w:ascii="Arial" w:hAnsi="Arial" w:cs="Arial"/>
          <w:lang w:val="en-GB"/>
        </w:rPr>
        <w:t>Timor-Leste</w:t>
      </w:r>
      <w:r w:rsidRPr="009748AC">
        <w:rPr>
          <w:rFonts w:ascii="Arial" w:hAnsi="Arial" w:cs="Arial"/>
          <w:lang w:val="en-GB"/>
        </w:rPr>
        <w:t>.</w:t>
      </w:r>
    </w:p>
    <w:p w14:paraId="4021524A" w14:textId="77777777" w:rsidR="00B226C4" w:rsidRPr="009748AC" w:rsidRDefault="00B226C4" w:rsidP="00B226C4">
      <w:pPr>
        <w:spacing w:line="360" w:lineRule="auto"/>
        <w:ind w:firstLine="567"/>
        <w:jc w:val="both"/>
        <w:rPr>
          <w:rFonts w:ascii="Arial" w:hAnsi="Arial" w:cs="Arial"/>
          <w:lang w:val="en-GB"/>
        </w:rPr>
      </w:pPr>
    </w:p>
    <w:p w14:paraId="595EB121" w14:textId="4544CBAF" w:rsidR="00B226C4" w:rsidRPr="009748AC" w:rsidRDefault="00B226C4" w:rsidP="00B226C4">
      <w:pPr>
        <w:tabs>
          <w:tab w:val="left" w:pos="567"/>
        </w:tabs>
        <w:spacing w:line="360" w:lineRule="auto"/>
        <w:jc w:val="both"/>
        <w:rPr>
          <w:rFonts w:ascii="Arial" w:hAnsi="Arial" w:cs="Arial"/>
          <w:lang w:val="en-GB"/>
        </w:rPr>
      </w:pPr>
      <w:r w:rsidRPr="009748AC">
        <w:rPr>
          <w:rFonts w:ascii="Arial" w:hAnsi="Arial" w:cs="Arial"/>
          <w:lang w:val="en-GB"/>
        </w:rPr>
        <w:t>2.</w:t>
      </w:r>
      <w:r w:rsidRPr="009748AC">
        <w:rPr>
          <w:rFonts w:ascii="Arial" w:hAnsi="Arial" w:cs="Arial"/>
          <w:lang w:val="en-GB"/>
        </w:rPr>
        <w:tab/>
        <w:t xml:space="preserve">We take note of the initiatives taken by </w:t>
      </w:r>
      <w:r w:rsidR="00680F83" w:rsidRPr="009748AC">
        <w:rPr>
          <w:rFonts w:ascii="Arial" w:hAnsi="Arial" w:cs="Arial"/>
          <w:lang w:val="en-GB"/>
        </w:rPr>
        <w:t>Timor-Leste</w:t>
      </w:r>
      <w:r w:rsidRPr="009748AC">
        <w:rPr>
          <w:rFonts w:ascii="Arial" w:hAnsi="Arial" w:cs="Arial"/>
          <w:lang w:val="en-GB"/>
        </w:rPr>
        <w:t xml:space="preserve"> to promote and protect human rights since the last review in 2016, as outlined in its National Report. We </w:t>
      </w:r>
      <w:r w:rsidR="00EA21BE" w:rsidRPr="009748AC">
        <w:rPr>
          <w:rFonts w:ascii="Arial" w:hAnsi="Arial" w:cs="Arial"/>
          <w:lang w:val="en-GB"/>
        </w:rPr>
        <w:t>note with appreciation</w:t>
      </w:r>
      <w:r w:rsidRPr="009748AC">
        <w:rPr>
          <w:rFonts w:ascii="Arial" w:hAnsi="Arial" w:cs="Arial"/>
          <w:lang w:val="en-GB"/>
        </w:rPr>
        <w:t xml:space="preserve"> the</w:t>
      </w:r>
      <w:r w:rsidR="00FA1326" w:rsidRPr="009748AC">
        <w:rPr>
          <w:rFonts w:ascii="Arial" w:hAnsi="Arial" w:cs="Arial"/>
          <w:lang w:val="en-GB"/>
        </w:rPr>
        <w:t xml:space="preserve"> </w:t>
      </w:r>
      <w:r w:rsidR="00261FC4" w:rsidRPr="009748AC">
        <w:rPr>
          <w:rFonts w:ascii="Arial" w:hAnsi="Arial" w:cs="Arial"/>
          <w:lang w:val="en-GB"/>
        </w:rPr>
        <w:t>adoption</w:t>
      </w:r>
      <w:r w:rsidR="00FA1326" w:rsidRPr="009748AC">
        <w:rPr>
          <w:rFonts w:ascii="Arial" w:hAnsi="Arial" w:cs="Arial"/>
          <w:lang w:val="en-GB"/>
        </w:rPr>
        <w:t xml:space="preserve"> of the National Action Plan on </w:t>
      </w:r>
      <w:r w:rsidR="00261FC4" w:rsidRPr="009748AC">
        <w:rPr>
          <w:rFonts w:ascii="Arial" w:hAnsi="Arial" w:cs="Arial"/>
          <w:lang w:val="en-GB"/>
        </w:rPr>
        <w:t>G</w:t>
      </w:r>
      <w:r w:rsidR="00FA1326" w:rsidRPr="009748AC">
        <w:rPr>
          <w:rFonts w:ascii="Arial" w:hAnsi="Arial" w:cs="Arial"/>
          <w:lang w:val="en-GB"/>
        </w:rPr>
        <w:t>ender-</w:t>
      </w:r>
      <w:r w:rsidR="00261FC4" w:rsidRPr="009748AC">
        <w:rPr>
          <w:rFonts w:ascii="Arial" w:hAnsi="Arial" w:cs="Arial"/>
          <w:lang w:val="en-GB"/>
        </w:rPr>
        <w:t>B</w:t>
      </w:r>
      <w:r w:rsidR="00FA1326" w:rsidRPr="009748AC">
        <w:rPr>
          <w:rFonts w:ascii="Arial" w:hAnsi="Arial" w:cs="Arial"/>
          <w:lang w:val="en-GB"/>
        </w:rPr>
        <w:t xml:space="preserve">ased </w:t>
      </w:r>
      <w:r w:rsidR="00261FC4" w:rsidRPr="009748AC">
        <w:rPr>
          <w:rFonts w:ascii="Arial" w:hAnsi="Arial" w:cs="Arial"/>
          <w:lang w:val="en-GB"/>
        </w:rPr>
        <w:t>V</w:t>
      </w:r>
      <w:r w:rsidR="00FA1326" w:rsidRPr="009748AC">
        <w:rPr>
          <w:rFonts w:ascii="Arial" w:hAnsi="Arial" w:cs="Arial"/>
          <w:lang w:val="en-GB"/>
        </w:rPr>
        <w:t>iolence</w:t>
      </w:r>
      <w:r w:rsidR="00261FC4" w:rsidRPr="009748AC">
        <w:rPr>
          <w:rFonts w:ascii="Arial" w:hAnsi="Arial" w:cs="Arial"/>
          <w:lang w:val="en-GB"/>
        </w:rPr>
        <w:t xml:space="preserve"> 2017-21</w:t>
      </w:r>
      <w:r w:rsidR="002025BE" w:rsidRPr="009748AC">
        <w:rPr>
          <w:rFonts w:ascii="Arial" w:hAnsi="Arial" w:cs="Arial"/>
          <w:lang w:val="en-GB"/>
        </w:rPr>
        <w:t xml:space="preserve">, </w:t>
      </w:r>
      <w:r w:rsidR="00261FC4" w:rsidRPr="009748AC">
        <w:rPr>
          <w:rFonts w:ascii="Arial" w:hAnsi="Arial" w:cs="Arial"/>
          <w:lang w:val="en-GB"/>
        </w:rPr>
        <w:t xml:space="preserve">the </w:t>
      </w:r>
      <w:r w:rsidR="002025BE" w:rsidRPr="009748AC">
        <w:rPr>
          <w:rFonts w:ascii="Arial" w:hAnsi="Arial" w:cs="Arial"/>
          <w:lang w:val="en-GB"/>
        </w:rPr>
        <w:t xml:space="preserve">launch of the </w:t>
      </w:r>
      <w:r w:rsidR="00261FC4" w:rsidRPr="009748AC">
        <w:rPr>
          <w:rFonts w:ascii="Arial" w:hAnsi="Arial" w:cs="Arial"/>
          <w:lang w:val="en-GB"/>
        </w:rPr>
        <w:t xml:space="preserve">second phase of the National Action Plan for </w:t>
      </w:r>
      <w:r w:rsidR="00C02EB7" w:rsidRPr="009748AC">
        <w:rPr>
          <w:rFonts w:ascii="Arial" w:hAnsi="Arial" w:cs="Arial"/>
          <w:lang w:val="en-GB"/>
        </w:rPr>
        <w:t>P</w:t>
      </w:r>
      <w:r w:rsidR="00261FC4" w:rsidRPr="009748AC">
        <w:rPr>
          <w:rFonts w:ascii="Arial" w:hAnsi="Arial" w:cs="Arial"/>
          <w:lang w:val="en-GB"/>
        </w:rPr>
        <w:t xml:space="preserve">ersons with </w:t>
      </w:r>
      <w:r w:rsidR="00C02EB7" w:rsidRPr="009748AC">
        <w:rPr>
          <w:rFonts w:ascii="Arial" w:hAnsi="Arial" w:cs="Arial"/>
          <w:lang w:val="en-GB"/>
        </w:rPr>
        <w:t>D</w:t>
      </w:r>
      <w:r w:rsidR="00261FC4" w:rsidRPr="009748AC">
        <w:rPr>
          <w:rFonts w:ascii="Arial" w:hAnsi="Arial" w:cs="Arial"/>
          <w:lang w:val="en-GB"/>
        </w:rPr>
        <w:t>isabilities 2021-30</w:t>
      </w:r>
      <w:r w:rsidRPr="009748AC">
        <w:rPr>
          <w:rFonts w:ascii="Arial" w:hAnsi="Arial" w:cs="Arial"/>
          <w:lang w:val="en-GB"/>
        </w:rPr>
        <w:t xml:space="preserve"> and the implementation o</w:t>
      </w:r>
      <w:r w:rsidR="00261FC4" w:rsidRPr="009748AC">
        <w:rPr>
          <w:rFonts w:ascii="Arial" w:hAnsi="Arial" w:cs="Arial"/>
          <w:lang w:val="en-GB"/>
        </w:rPr>
        <w:t>f</w:t>
      </w:r>
      <w:r w:rsidRPr="009748AC">
        <w:rPr>
          <w:rFonts w:ascii="Arial" w:hAnsi="Arial" w:cs="Arial"/>
          <w:lang w:val="en-GB"/>
        </w:rPr>
        <w:t xml:space="preserve"> programme interventions </w:t>
      </w:r>
      <w:r w:rsidR="002025BE" w:rsidRPr="009748AC">
        <w:rPr>
          <w:rFonts w:ascii="Arial" w:hAnsi="Arial" w:cs="Arial"/>
          <w:lang w:val="en-GB"/>
        </w:rPr>
        <w:t>such as the ‘</w:t>
      </w:r>
      <w:proofErr w:type="spellStart"/>
      <w:r w:rsidR="002025BE" w:rsidRPr="009748AC">
        <w:rPr>
          <w:rFonts w:ascii="Arial" w:hAnsi="Arial" w:cs="Arial"/>
          <w:lang w:val="en-GB"/>
        </w:rPr>
        <w:t>bolsa</w:t>
      </w:r>
      <w:proofErr w:type="spellEnd"/>
      <w:r w:rsidR="002025BE" w:rsidRPr="009748AC">
        <w:rPr>
          <w:rFonts w:ascii="Arial" w:hAnsi="Arial" w:cs="Arial"/>
          <w:lang w:val="en-GB"/>
        </w:rPr>
        <w:t xml:space="preserve"> da </w:t>
      </w:r>
      <w:proofErr w:type="spellStart"/>
      <w:r w:rsidR="002025BE" w:rsidRPr="009748AC">
        <w:rPr>
          <w:rFonts w:ascii="Arial" w:hAnsi="Arial" w:cs="Arial"/>
          <w:lang w:val="en-GB"/>
        </w:rPr>
        <w:t>mãe</w:t>
      </w:r>
      <w:proofErr w:type="spellEnd"/>
      <w:r w:rsidR="002025BE" w:rsidRPr="009748AC">
        <w:rPr>
          <w:rFonts w:ascii="Arial" w:hAnsi="Arial" w:cs="Arial"/>
          <w:lang w:val="en-GB"/>
        </w:rPr>
        <w:t>’</w:t>
      </w:r>
      <w:r w:rsidRPr="009748AC">
        <w:rPr>
          <w:rFonts w:ascii="Arial" w:hAnsi="Arial" w:cs="Arial"/>
          <w:lang w:val="en-GB"/>
        </w:rPr>
        <w:t xml:space="preserve">. </w:t>
      </w:r>
    </w:p>
    <w:p w14:paraId="20BE2D6F" w14:textId="77777777" w:rsidR="00B226C4" w:rsidRPr="009748AC" w:rsidRDefault="00B226C4" w:rsidP="00B226C4">
      <w:pPr>
        <w:spacing w:line="360" w:lineRule="auto"/>
        <w:jc w:val="both"/>
        <w:rPr>
          <w:rFonts w:ascii="Arial" w:hAnsi="Arial" w:cs="Arial"/>
          <w:lang w:val="en-GB"/>
        </w:rPr>
      </w:pPr>
    </w:p>
    <w:p w14:paraId="3AE1CB20" w14:textId="198BEC6B" w:rsidR="00B226C4" w:rsidRPr="009748AC" w:rsidRDefault="00B226C4" w:rsidP="00B226C4">
      <w:pPr>
        <w:tabs>
          <w:tab w:val="left" w:pos="567"/>
        </w:tabs>
        <w:spacing w:line="360" w:lineRule="auto"/>
        <w:jc w:val="both"/>
        <w:rPr>
          <w:rFonts w:ascii="Arial" w:hAnsi="Arial" w:cs="Arial"/>
          <w:lang w:val="en-GB"/>
        </w:rPr>
      </w:pPr>
      <w:r w:rsidRPr="009748AC">
        <w:rPr>
          <w:rFonts w:ascii="Arial" w:hAnsi="Arial" w:cs="Arial"/>
          <w:lang w:val="en-GB"/>
        </w:rPr>
        <w:t>3.</w:t>
      </w:r>
      <w:r w:rsidRPr="009748AC">
        <w:rPr>
          <w:rFonts w:ascii="Arial" w:hAnsi="Arial" w:cs="Arial"/>
          <w:lang w:val="en-GB"/>
        </w:rPr>
        <w:tab/>
        <w:t xml:space="preserve">In the spirit of constructive cooperation, India recommends the following to </w:t>
      </w:r>
      <w:r w:rsidR="002025BE" w:rsidRPr="009748AC">
        <w:rPr>
          <w:rFonts w:ascii="Arial" w:hAnsi="Arial" w:cs="Arial"/>
          <w:lang w:val="en-GB"/>
        </w:rPr>
        <w:t>Timor-Leste</w:t>
      </w:r>
      <w:r w:rsidRPr="009748AC">
        <w:rPr>
          <w:rFonts w:ascii="Arial" w:hAnsi="Arial" w:cs="Arial"/>
          <w:lang w:val="en-GB"/>
        </w:rPr>
        <w:t>:</w:t>
      </w:r>
    </w:p>
    <w:p w14:paraId="033A4F43" w14:textId="6B047237" w:rsidR="00B226C4" w:rsidRPr="009748AC" w:rsidRDefault="002025BE" w:rsidP="00B226C4">
      <w:pPr>
        <w:pStyle w:val="ListParagraph"/>
        <w:numPr>
          <w:ilvl w:val="0"/>
          <w:numId w:val="1"/>
        </w:numPr>
        <w:spacing w:line="360" w:lineRule="auto"/>
        <w:ind w:left="567" w:hanging="425"/>
        <w:jc w:val="both"/>
        <w:rPr>
          <w:rFonts w:ascii="Arial" w:hAnsi="Arial" w:cs="Arial"/>
          <w:sz w:val="24"/>
          <w:szCs w:val="24"/>
          <w:lang w:val="en-GB"/>
        </w:rPr>
      </w:pPr>
      <w:r w:rsidRPr="009748AC">
        <w:rPr>
          <w:rFonts w:ascii="Arial" w:hAnsi="Arial" w:cs="Arial"/>
          <w:sz w:val="24"/>
          <w:szCs w:val="24"/>
          <w:lang w:val="en-GB"/>
        </w:rPr>
        <w:t>Consider ratification of the Convention on the Rights of Persons with Disabilities;</w:t>
      </w:r>
      <w:r w:rsidR="00B226C4" w:rsidRPr="009748AC">
        <w:rPr>
          <w:rFonts w:ascii="Arial" w:hAnsi="Arial" w:cs="Arial"/>
          <w:sz w:val="24"/>
          <w:szCs w:val="24"/>
          <w:lang w:val="en-GB"/>
        </w:rPr>
        <w:t xml:space="preserve"> </w:t>
      </w:r>
    </w:p>
    <w:p w14:paraId="6EFF7F80" w14:textId="0053E1D6" w:rsidR="00B226C4" w:rsidRPr="009748AC" w:rsidRDefault="00B226C4" w:rsidP="00B226C4">
      <w:pPr>
        <w:pStyle w:val="ListParagraph"/>
        <w:numPr>
          <w:ilvl w:val="0"/>
          <w:numId w:val="1"/>
        </w:numPr>
        <w:spacing w:line="360" w:lineRule="auto"/>
        <w:ind w:left="567" w:hanging="425"/>
        <w:jc w:val="both"/>
        <w:rPr>
          <w:rFonts w:ascii="Arial" w:hAnsi="Arial" w:cs="Arial"/>
          <w:sz w:val="24"/>
          <w:szCs w:val="24"/>
          <w:lang w:val="en-GB"/>
        </w:rPr>
      </w:pPr>
      <w:r w:rsidRPr="009748AC">
        <w:rPr>
          <w:rFonts w:ascii="Arial" w:hAnsi="Arial" w:cs="Arial"/>
          <w:sz w:val="24"/>
          <w:szCs w:val="24"/>
          <w:lang w:val="en-GB"/>
        </w:rPr>
        <w:t xml:space="preserve">Continue with </w:t>
      </w:r>
      <w:r w:rsidR="008C0C55" w:rsidRPr="009748AC">
        <w:rPr>
          <w:rFonts w:ascii="Arial" w:hAnsi="Arial" w:cs="Arial"/>
          <w:sz w:val="24"/>
          <w:szCs w:val="24"/>
          <w:lang w:val="en-GB"/>
        </w:rPr>
        <w:t xml:space="preserve">progressive </w:t>
      </w:r>
      <w:r w:rsidRPr="009748AC">
        <w:rPr>
          <w:rFonts w:ascii="Arial" w:hAnsi="Arial" w:cs="Arial"/>
          <w:sz w:val="24"/>
          <w:szCs w:val="24"/>
          <w:lang w:val="en-GB"/>
        </w:rPr>
        <w:t xml:space="preserve">policy and legislative measures for </w:t>
      </w:r>
      <w:r w:rsidR="006B1C06" w:rsidRPr="009748AC">
        <w:rPr>
          <w:rFonts w:ascii="Arial" w:hAnsi="Arial" w:cs="Arial"/>
          <w:sz w:val="24"/>
          <w:szCs w:val="24"/>
          <w:lang w:val="en-GB"/>
        </w:rPr>
        <w:t xml:space="preserve">promotion and protection of the rights of children, </w:t>
      </w:r>
      <w:r w:rsidR="008C0C55" w:rsidRPr="009748AC">
        <w:rPr>
          <w:rFonts w:ascii="Arial" w:hAnsi="Arial" w:cs="Arial"/>
          <w:sz w:val="24"/>
          <w:szCs w:val="24"/>
          <w:lang w:val="en-GB"/>
        </w:rPr>
        <w:t>such as</w:t>
      </w:r>
      <w:r w:rsidR="006B1C06" w:rsidRPr="009748AC">
        <w:rPr>
          <w:rFonts w:ascii="Arial" w:hAnsi="Arial" w:cs="Arial"/>
          <w:sz w:val="24"/>
          <w:szCs w:val="24"/>
          <w:lang w:val="en-GB"/>
        </w:rPr>
        <w:t xml:space="preserve"> </w:t>
      </w:r>
      <w:r w:rsidR="008C0C55" w:rsidRPr="009748AC">
        <w:rPr>
          <w:rFonts w:ascii="Arial" w:hAnsi="Arial" w:cs="Arial"/>
          <w:sz w:val="24"/>
          <w:szCs w:val="24"/>
          <w:lang w:val="en-GB"/>
        </w:rPr>
        <w:t xml:space="preserve">for the </w:t>
      </w:r>
      <w:r w:rsidR="006B1C06" w:rsidRPr="009748AC">
        <w:rPr>
          <w:rFonts w:ascii="Arial" w:hAnsi="Arial" w:cs="Arial"/>
          <w:sz w:val="24"/>
          <w:szCs w:val="24"/>
          <w:lang w:val="en-GB"/>
        </w:rPr>
        <w:t>criminalisation of child marriage</w:t>
      </w:r>
      <w:r w:rsidR="008C0C55" w:rsidRPr="009748AC">
        <w:rPr>
          <w:rFonts w:ascii="Arial" w:hAnsi="Arial" w:cs="Arial"/>
          <w:sz w:val="24"/>
          <w:szCs w:val="24"/>
          <w:lang w:val="en-GB"/>
        </w:rPr>
        <w:t xml:space="preserve"> and the development of a comprehensive juvenile justice system;</w:t>
      </w:r>
      <w:r w:rsidR="009748AC">
        <w:rPr>
          <w:rFonts w:ascii="Arial" w:hAnsi="Arial" w:cs="Arial"/>
          <w:sz w:val="24"/>
          <w:szCs w:val="24"/>
          <w:lang w:val="en-GB"/>
        </w:rPr>
        <w:t xml:space="preserve"> and</w:t>
      </w:r>
    </w:p>
    <w:p w14:paraId="5ACB3A40" w14:textId="3DB34C1B" w:rsidR="00B226C4" w:rsidRPr="009748AC" w:rsidRDefault="00B226C4" w:rsidP="00B226C4">
      <w:pPr>
        <w:pStyle w:val="ListParagraph"/>
        <w:numPr>
          <w:ilvl w:val="0"/>
          <w:numId w:val="1"/>
        </w:numPr>
        <w:spacing w:line="360" w:lineRule="auto"/>
        <w:ind w:left="567" w:hanging="425"/>
        <w:jc w:val="both"/>
        <w:rPr>
          <w:rFonts w:ascii="Arial" w:hAnsi="Arial" w:cs="Arial"/>
          <w:sz w:val="24"/>
          <w:szCs w:val="24"/>
          <w:lang w:val="en-GB"/>
        </w:rPr>
      </w:pPr>
      <w:r w:rsidRPr="009748AC">
        <w:rPr>
          <w:rFonts w:ascii="Arial" w:hAnsi="Arial" w:cs="Arial"/>
          <w:sz w:val="24"/>
          <w:szCs w:val="24"/>
          <w:lang w:val="en-GB"/>
        </w:rPr>
        <w:t xml:space="preserve">Consider further measures to </w:t>
      </w:r>
      <w:r w:rsidR="008C0C55" w:rsidRPr="009748AC">
        <w:rPr>
          <w:rFonts w:ascii="Arial" w:hAnsi="Arial" w:cs="Arial"/>
          <w:sz w:val="24"/>
          <w:szCs w:val="24"/>
          <w:lang w:val="en-GB"/>
        </w:rPr>
        <w:t>promote gender equality and end gender-based violence, including access to safe reproductive health services</w:t>
      </w:r>
      <w:r w:rsidRPr="009748AC">
        <w:rPr>
          <w:rFonts w:ascii="Arial" w:hAnsi="Arial" w:cs="Arial"/>
          <w:sz w:val="24"/>
          <w:szCs w:val="24"/>
          <w:lang w:val="en-GB"/>
        </w:rPr>
        <w:t>.</w:t>
      </w:r>
    </w:p>
    <w:p w14:paraId="4186979F" w14:textId="77777777" w:rsidR="00B226C4" w:rsidRPr="009748AC" w:rsidRDefault="00B226C4" w:rsidP="00B226C4">
      <w:pPr>
        <w:pStyle w:val="ListParagraph"/>
        <w:spacing w:line="360" w:lineRule="auto"/>
        <w:ind w:left="567"/>
        <w:jc w:val="both"/>
        <w:rPr>
          <w:rFonts w:ascii="Arial" w:hAnsi="Arial" w:cs="Arial"/>
          <w:sz w:val="24"/>
          <w:szCs w:val="24"/>
          <w:lang w:val="en-GB"/>
        </w:rPr>
      </w:pPr>
    </w:p>
    <w:p w14:paraId="63737797" w14:textId="0670E2FD" w:rsidR="00B226C4" w:rsidRPr="009748AC" w:rsidRDefault="00B226C4" w:rsidP="00B226C4">
      <w:pPr>
        <w:spacing w:line="360" w:lineRule="auto"/>
        <w:jc w:val="both"/>
        <w:rPr>
          <w:rFonts w:ascii="Arial" w:hAnsi="Arial" w:cs="Arial"/>
          <w:lang w:val="en-GB"/>
        </w:rPr>
      </w:pPr>
      <w:r w:rsidRPr="009748AC">
        <w:rPr>
          <w:rFonts w:ascii="Arial" w:hAnsi="Arial" w:cs="Arial"/>
          <w:lang w:val="en-GB"/>
        </w:rPr>
        <w:t>4.</w:t>
      </w:r>
      <w:r w:rsidRPr="009748AC">
        <w:rPr>
          <w:rFonts w:ascii="Arial" w:hAnsi="Arial" w:cs="Arial"/>
          <w:lang w:val="en-GB"/>
        </w:rPr>
        <w:tab/>
        <w:t xml:space="preserve">We wish the delegation of </w:t>
      </w:r>
      <w:r w:rsidR="008C0C55" w:rsidRPr="009748AC">
        <w:rPr>
          <w:rFonts w:ascii="Arial" w:hAnsi="Arial" w:cs="Arial"/>
          <w:lang w:val="en-GB"/>
        </w:rPr>
        <w:t>Timor-Leste</w:t>
      </w:r>
      <w:r w:rsidRPr="009748AC">
        <w:rPr>
          <w:rFonts w:ascii="Arial" w:hAnsi="Arial" w:cs="Arial"/>
          <w:lang w:val="en-GB"/>
        </w:rPr>
        <w:t xml:space="preserve"> all the success in its review.</w:t>
      </w:r>
    </w:p>
    <w:p w14:paraId="5FBFCAF9" w14:textId="77777777" w:rsidR="00B226C4" w:rsidRPr="009748AC" w:rsidRDefault="00B226C4" w:rsidP="00B226C4">
      <w:pPr>
        <w:spacing w:line="360" w:lineRule="auto"/>
        <w:jc w:val="both"/>
        <w:rPr>
          <w:rFonts w:ascii="Arial" w:hAnsi="Arial" w:cs="Arial"/>
          <w:lang w:val="en-GB"/>
        </w:rPr>
      </w:pPr>
    </w:p>
    <w:p w14:paraId="7046FCE4" w14:textId="300664C0" w:rsidR="007A1585" w:rsidRPr="009748AC" w:rsidRDefault="00B226C4" w:rsidP="009748AC">
      <w:pPr>
        <w:spacing w:line="360" w:lineRule="auto"/>
        <w:jc w:val="both"/>
        <w:rPr>
          <w:rFonts w:ascii="Arial" w:hAnsi="Arial" w:cs="Arial"/>
        </w:rPr>
      </w:pPr>
      <w:r w:rsidRPr="009748AC">
        <w:rPr>
          <w:rFonts w:ascii="Arial" w:hAnsi="Arial" w:cs="Arial"/>
          <w:b/>
          <w:bCs/>
          <w:lang w:val="en-GB"/>
        </w:rPr>
        <w:t xml:space="preserve">Thank you, </w:t>
      </w:r>
      <w:r w:rsidR="005F55D1" w:rsidRPr="009748AC">
        <w:rPr>
          <w:rFonts w:ascii="Arial" w:hAnsi="Arial" w:cs="Arial"/>
          <w:b/>
          <w:bCs/>
          <w:lang w:val="en-GB"/>
        </w:rPr>
        <w:t>Mr.</w:t>
      </w:r>
      <w:r w:rsidRPr="009748AC">
        <w:rPr>
          <w:rFonts w:ascii="Arial" w:hAnsi="Arial" w:cs="Arial"/>
          <w:b/>
          <w:bCs/>
          <w:lang w:val="en-GB"/>
        </w:rPr>
        <w:t xml:space="preserve"> President.  </w:t>
      </w:r>
    </w:p>
    <w:sectPr w:rsidR="007A1585" w:rsidRPr="009748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64660"/>
    <w:multiLevelType w:val="hybridMultilevel"/>
    <w:tmpl w:val="0BF2B51C"/>
    <w:lvl w:ilvl="0" w:tplc="2000001B">
      <w:start w:val="1"/>
      <w:numFmt w:val="lowerRoman"/>
      <w:lvlText w:val="%1."/>
      <w:lvlJc w:val="right"/>
      <w:pPr>
        <w:ind w:left="360" w:hanging="360"/>
      </w:pPr>
    </w:lvl>
    <w:lvl w:ilvl="1" w:tplc="20000019">
      <w:start w:val="1"/>
      <w:numFmt w:val="lowerLetter"/>
      <w:lvlText w:val="%2."/>
      <w:lvlJc w:val="left"/>
      <w:pPr>
        <w:ind w:left="1080" w:hanging="360"/>
      </w:pPr>
    </w:lvl>
    <w:lvl w:ilvl="2" w:tplc="2000001B">
      <w:start w:val="1"/>
      <w:numFmt w:val="lowerRoman"/>
      <w:lvlText w:val="%3."/>
      <w:lvlJc w:val="right"/>
      <w:pPr>
        <w:ind w:left="1800" w:hanging="180"/>
      </w:pPr>
    </w:lvl>
    <w:lvl w:ilvl="3" w:tplc="2000000F">
      <w:start w:val="1"/>
      <w:numFmt w:val="decimal"/>
      <w:lvlText w:val="%4."/>
      <w:lvlJc w:val="left"/>
      <w:pPr>
        <w:ind w:left="2520" w:hanging="360"/>
      </w:pPr>
    </w:lvl>
    <w:lvl w:ilvl="4" w:tplc="20000019">
      <w:start w:val="1"/>
      <w:numFmt w:val="lowerLetter"/>
      <w:lvlText w:val="%5."/>
      <w:lvlJc w:val="left"/>
      <w:pPr>
        <w:ind w:left="3240" w:hanging="360"/>
      </w:pPr>
    </w:lvl>
    <w:lvl w:ilvl="5" w:tplc="2000001B">
      <w:start w:val="1"/>
      <w:numFmt w:val="lowerRoman"/>
      <w:lvlText w:val="%6."/>
      <w:lvlJc w:val="right"/>
      <w:pPr>
        <w:ind w:left="3960" w:hanging="180"/>
      </w:pPr>
    </w:lvl>
    <w:lvl w:ilvl="6" w:tplc="2000000F">
      <w:start w:val="1"/>
      <w:numFmt w:val="decimal"/>
      <w:lvlText w:val="%7."/>
      <w:lvlJc w:val="left"/>
      <w:pPr>
        <w:ind w:left="4680" w:hanging="360"/>
      </w:pPr>
    </w:lvl>
    <w:lvl w:ilvl="7" w:tplc="20000019">
      <w:start w:val="1"/>
      <w:numFmt w:val="lowerLetter"/>
      <w:lvlText w:val="%8."/>
      <w:lvlJc w:val="left"/>
      <w:pPr>
        <w:ind w:left="5400" w:hanging="360"/>
      </w:pPr>
    </w:lvl>
    <w:lvl w:ilvl="8" w:tplc="2000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6C4"/>
    <w:rsid w:val="002025BE"/>
    <w:rsid w:val="00261FC4"/>
    <w:rsid w:val="005F55D1"/>
    <w:rsid w:val="00680F83"/>
    <w:rsid w:val="006B1C06"/>
    <w:rsid w:val="007A1585"/>
    <w:rsid w:val="008A56BE"/>
    <w:rsid w:val="008C0C55"/>
    <w:rsid w:val="009748AC"/>
    <w:rsid w:val="00B226C4"/>
    <w:rsid w:val="00C02EB7"/>
    <w:rsid w:val="00EA21BE"/>
    <w:rsid w:val="00FA1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24178"/>
  <w15:chartTrackingRefBased/>
  <w15:docId w15:val="{31D08B23-B2AA-40D6-8E29-2E0050A32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26C4"/>
    <w:pPr>
      <w:spacing w:after="0" w:line="240" w:lineRule="auto"/>
    </w:pPr>
    <w:rPr>
      <w:rFonts w:ascii="Times New Roman" w:hAnsi="Times New Roman" w:cs="Times New Roman"/>
      <w:sz w:val="24"/>
      <w:szCs w:val="24"/>
      <w:lang w:val="en-US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26C4"/>
    <w:pPr>
      <w:spacing w:after="160" w:line="256" w:lineRule="auto"/>
      <w:ind w:left="720"/>
      <w:contextualSpacing/>
    </w:pPr>
    <w:rPr>
      <w:rFonts w:asciiTheme="minorHAnsi" w:hAnsiTheme="minorHAnsi" w:cstheme="minorBidi"/>
      <w:sz w:val="22"/>
      <w:szCs w:val="22"/>
      <w:lang w:bidi="ar-SA"/>
    </w:rPr>
  </w:style>
  <w:style w:type="paragraph" w:styleId="NoSpacing">
    <w:name w:val="No Spacing"/>
    <w:uiPriority w:val="1"/>
    <w:qFormat/>
    <w:rsid w:val="009748AC"/>
    <w:pPr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48AC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8AC"/>
    <w:rPr>
      <w:rFonts w:ascii="Segoe UI" w:hAnsi="Segoe UI" w:cs="Mangal"/>
      <w:sz w:val="18"/>
      <w:szCs w:val="16"/>
      <w:lang w:val="en-US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B3EB5E-4188-4BB3-B00E-D898910A3FB0}"/>
</file>

<file path=customXml/itemProps2.xml><?xml version="1.0" encoding="utf-8"?>
<ds:datastoreItem xmlns:ds="http://schemas.openxmlformats.org/officeDocument/2006/customXml" ds:itemID="{F7CCD0ED-6985-477D-9223-9F3459499B0B}"/>
</file>

<file path=customXml/itemProps3.xml><?xml version="1.0" encoding="utf-8"?>
<ds:datastoreItem xmlns:ds="http://schemas.openxmlformats.org/officeDocument/2006/customXml" ds:itemID="{44271769-7EAD-4819-BB54-F43B5BCED4B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PMI Geneva</dc:creator>
  <cp:keywords/>
  <dc:description/>
  <cp:lastModifiedBy>SSHR</cp:lastModifiedBy>
  <cp:revision>5</cp:revision>
  <cp:lastPrinted>2022-01-21T13:47:00Z</cp:lastPrinted>
  <dcterms:created xsi:type="dcterms:W3CDTF">2022-01-18T16:52:00Z</dcterms:created>
  <dcterms:modified xsi:type="dcterms:W3CDTF">2022-01-21T13:47:00Z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