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6" w:rsidRDefault="00674056" w:rsidP="00674056">
      <w:pPr>
        <w:spacing w:line="240" w:lineRule="auto"/>
        <w:jc w:val="both"/>
        <w:rPr>
          <w:rFonts w:asciiTheme="majorHAnsi" w:hAnsiTheme="majorHAnsi" w:cstheme="majorHAnsi"/>
        </w:rPr>
      </w:pPr>
    </w:p>
    <w:p w:rsidR="00674056" w:rsidRDefault="00674056" w:rsidP="00674056">
      <w:pPr>
        <w:spacing w:line="240" w:lineRule="auto"/>
        <w:jc w:val="both"/>
        <w:rPr>
          <w:rFonts w:asciiTheme="majorHAnsi" w:hAnsiTheme="majorHAnsi" w:cstheme="majorHAnsi"/>
        </w:rPr>
      </w:pPr>
    </w:p>
    <w:p w:rsidR="00822CCF" w:rsidRPr="00822CCF" w:rsidRDefault="00822CCF" w:rsidP="00822CCF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822CCF" w:rsidRPr="004A598F" w:rsidRDefault="00822CCF" w:rsidP="00822CCF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822CCF" w:rsidRPr="004A598F" w:rsidRDefault="00822CCF" w:rsidP="00822C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 EPU - </w:t>
      </w:r>
      <w:r w:rsidR="009538C3">
        <w:rPr>
          <w:b/>
          <w:sz w:val="32"/>
          <w:szCs w:val="32"/>
        </w:rPr>
        <w:t>TOGO</w:t>
      </w:r>
    </w:p>
    <w:p w:rsidR="008A7A1A" w:rsidRDefault="00ED4351" w:rsidP="00ED4351">
      <w:pPr>
        <w:spacing w:line="240" w:lineRule="auto"/>
        <w:jc w:val="both"/>
        <w:rPr>
          <w:rFonts w:cstheme="minorHAnsi"/>
          <w:sz w:val="32"/>
          <w:szCs w:val="32"/>
        </w:rPr>
      </w:pPr>
      <w:r w:rsidRPr="00822CCF">
        <w:rPr>
          <w:rFonts w:cstheme="minorHAnsi"/>
          <w:sz w:val="32"/>
          <w:szCs w:val="32"/>
        </w:rPr>
        <w:t>Muchas gracias, Sr. Presidente.</w:t>
      </w:r>
    </w:p>
    <w:p w:rsidR="009538C3" w:rsidRPr="009538C3" w:rsidRDefault="009538C3" w:rsidP="009538C3">
      <w:pPr>
        <w:spacing w:line="240" w:lineRule="auto"/>
        <w:jc w:val="both"/>
        <w:rPr>
          <w:rFonts w:cstheme="minorHAnsi"/>
          <w:sz w:val="32"/>
          <w:szCs w:val="32"/>
        </w:rPr>
      </w:pPr>
      <w:r w:rsidRPr="009538C3">
        <w:rPr>
          <w:rFonts w:cstheme="minorHAnsi"/>
          <w:sz w:val="32"/>
          <w:szCs w:val="32"/>
        </w:rPr>
        <w:t>España da una cordial bienvenida a la delegación de Togo y agradece su participación en este ejercicio, así como la presentación realizada por S. E.</w:t>
      </w:r>
    </w:p>
    <w:p w:rsidR="009538C3" w:rsidRPr="009538C3" w:rsidRDefault="009538C3" w:rsidP="009538C3">
      <w:pPr>
        <w:jc w:val="both"/>
        <w:rPr>
          <w:rFonts w:cstheme="minorHAnsi"/>
          <w:sz w:val="32"/>
          <w:szCs w:val="32"/>
        </w:rPr>
      </w:pPr>
      <w:r w:rsidRPr="009538C3">
        <w:rPr>
          <w:rFonts w:cstheme="minorHAnsi"/>
          <w:sz w:val="32"/>
          <w:szCs w:val="32"/>
        </w:rPr>
        <w:t>Saludamos los avances logrados en el sistema educativo y sanitario.</w:t>
      </w:r>
    </w:p>
    <w:p w:rsidR="009538C3" w:rsidRPr="009538C3" w:rsidRDefault="009538C3" w:rsidP="009538C3">
      <w:pPr>
        <w:jc w:val="both"/>
        <w:rPr>
          <w:rFonts w:cstheme="minorHAnsi"/>
          <w:bCs/>
          <w:color w:val="000000"/>
          <w:sz w:val="32"/>
          <w:szCs w:val="32"/>
        </w:rPr>
      </w:pPr>
      <w:r w:rsidRPr="009538C3">
        <w:rPr>
          <w:rFonts w:cstheme="minorHAnsi"/>
          <w:sz w:val="32"/>
          <w:szCs w:val="32"/>
        </w:rPr>
        <w:t xml:space="preserve">Sin embargo, preocupados por las severas restricciones a las libertades fundamentales, recomendamos reformar </w:t>
      </w:r>
      <w:r w:rsidRPr="009538C3">
        <w:rPr>
          <w:rFonts w:cstheme="minorHAnsi"/>
          <w:b/>
          <w:sz w:val="32"/>
          <w:szCs w:val="32"/>
        </w:rPr>
        <w:t>(1)</w:t>
      </w:r>
      <w:r w:rsidRPr="009538C3">
        <w:rPr>
          <w:rFonts w:cstheme="minorHAnsi"/>
          <w:sz w:val="32"/>
          <w:szCs w:val="32"/>
        </w:rPr>
        <w:t xml:space="preserve"> la</w:t>
      </w:r>
      <w:r w:rsidRPr="009538C3">
        <w:rPr>
          <w:rFonts w:cstheme="minorHAnsi"/>
          <w:color w:val="000000"/>
          <w:sz w:val="32"/>
          <w:szCs w:val="32"/>
        </w:rPr>
        <w:t> </w:t>
      </w:r>
      <w:r w:rsidRPr="009538C3">
        <w:rPr>
          <w:rFonts w:cstheme="minorHAnsi"/>
          <w:bCs/>
          <w:color w:val="000000"/>
          <w:sz w:val="32"/>
          <w:szCs w:val="32"/>
        </w:rPr>
        <w:t>Ley de manifestaciones públicas de 2019, así como la ley de asociaciones</w:t>
      </w:r>
      <w:r>
        <w:rPr>
          <w:rFonts w:cstheme="minorHAnsi"/>
          <w:bCs/>
          <w:color w:val="000000"/>
          <w:sz w:val="32"/>
          <w:szCs w:val="32"/>
        </w:rPr>
        <w:t>,</w:t>
      </w:r>
      <w:r w:rsidRPr="009538C3">
        <w:rPr>
          <w:rFonts w:cstheme="minorHAnsi"/>
          <w:bCs/>
          <w:color w:val="000000"/>
          <w:sz w:val="32"/>
          <w:szCs w:val="32"/>
        </w:rPr>
        <w:t xml:space="preserve"> con el fin de garantizar el ejercicio del derecho a la libertad de reunión pacífica y de asociación, de conformidad con las normas internacionales de derechos humanos. </w:t>
      </w:r>
    </w:p>
    <w:p w:rsidR="009538C3" w:rsidRPr="009538C3" w:rsidRDefault="009538C3" w:rsidP="009538C3">
      <w:pPr>
        <w:jc w:val="both"/>
        <w:rPr>
          <w:rFonts w:cstheme="minorHAnsi"/>
          <w:bCs/>
          <w:color w:val="000000"/>
          <w:sz w:val="32"/>
          <w:szCs w:val="32"/>
        </w:rPr>
      </w:pPr>
      <w:r w:rsidRPr="009538C3">
        <w:rPr>
          <w:rFonts w:cstheme="minorHAnsi"/>
          <w:bCs/>
          <w:color w:val="000000"/>
          <w:sz w:val="32"/>
          <w:szCs w:val="32"/>
        </w:rPr>
        <w:t xml:space="preserve">Asimismo, recomendamos al país </w:t>
      </w:r>
      <w:r w:rsidRPr="009538C3">
        <w:rPr>
          <w:rFonts w:cstheme="minorHAnsi"/>
          <w:b/>
          <w:bCs/>
          <w:color w:val="000000"/>
          <w:sz w:val="32"/>
          <w:szCs w:val="32"/>
        </w:rPr>
        <w:t>(2)</w:t>
      </w:r>
      <w:r w:rsidRPr="009538C3">
        <w:rPr>
          <w:rFonts w:cstheme="minorHAnsi"/>
          <w:bCs/>
          <w:color w:val="000000"/>
          <w:sz w:val="32"/>
          <w:szCs w:val="32"/>
        </w:rPr>
        <w:t xml:space="preserve"> que garantice el ejercicio sin restricciones indebidas del derecho a la libertad de expresión y prensa adaptando la legislación pertinente a los estándares internacionales de derechos humanos, entre otros, respecto al delito de difamación, y  que</w:t>
      </w:r>
      <w:bookmarkStart w:id="0" w:name="_GoBack"/>
      <w:bookmarkEnd w:id="0"/>
      <w:r>
        <w:rPr>
          <w:rFonts w:cstheme="minorHAnsi"/>
          <w:bCs/>
          <w:color w:val="000000"/>
          <w:sz w:val="32"/>
          <w:szCs w:val="32"/>
        </w:rPr>
        <w:t xml:space="preserve"> </w:t>
      </w:r>
      <w:r w:rsidRPr="009538C3">
        <w:rPr>
          <w:rFonts w:cstheme="minorHAnsi"/>
          <w:bCs/>
          <w:color w:val="000000"/>
          <w:sz w:val="32"/>
          <w:szCs w:val="32"/>
        </w:rPr>
        <w:t xml:space="preserve">proteja a los periodistas y sus actividades. </w:t>
      </w:r>
    </w:p>
    <w:p w:rsidR="009538C3" w:rsidRDefault="009538C3" w:rsidP="009538C3">
      <w:pPr>
        <w:jc w:val="both"/>
        <w:rPr>
          <w:rFonts w:cstheme="minorHAnsi"/>
          <w:bCs/>
          <w:color w:val="000000"/>
          <w:sz w:val="32"/>
          <w:szCs w:val="32"/>
        </w:rPr>
      </w:pPr>
      <w:r w:rsidRPr="009538C3">
        <w:rPr>
          <w:rFonts w:cstheme="minorHAnsi"/>
          <w:bCs/>
          <w:color w:val="000000"/>
          <w:sz w:val="32"/>
          <w:szCs w:val="32"/>
        </w:rPr>
        <w:t xml:space="preserve">Por otra parte, recomendamos </w:t>
      </w:r>
      <w:r w:rsidRPr="009538C3">
        <w:rPr>
          <w:rFonts w:cstheme="minorHAnsi"/>
          <w:b/>
          <w:bCs/>
          <w:color w:val="000000"/>
          <w:sz w:val="32"/>
          <w:szCs w:val="32"/>
        </w:rPr>
        <w:t>(3)</w:t>
      </w:r>
      <w:r w:rsidRPr="009538C3">
        <w:rPr>
          <w:rFonts w:cstheme="minorHAnsi"/>
          <w:sz w:val="32"/>
          <w:szCs w:val="32"/>
        </w:rPr>
        <w:t xml:space="preserve">la ratificación del Protocolo Facultativo de la Convención sobre la eliminación de todas las formas de Discriminación contra la Mujer, así como </w:t>
      </w:r>
      <w:r w:rsidRPr="009538C3">
        <w:rPr>
          <w:rFonts w:cstheme="minorHAnsi"/>
          <w:b/>
          <w:sz w:val="32"/>
          <w:szCs w:val="32"/>
        </w:rPr>
        <w:t>(4)</w:t>
      </w:r>
      <w:r w:rsidRPr="009538C3">
        <w:rPr>
          <w:rFonts w:cstheme="minorHAnsi"/>
          <w:sz w:val="32"/>
          <w:szCs w:val="32"/>
        </w:rPr>
        <w:t xml:space="preserve"> el establecimiento </w:t>
      </w:r>
      <w:r w:rsidRPr="009538C3">
        <w:rPr>
          <w:rFonts w:cstheme="minorHAnsi"/>
          <w:bCs/>
          <w:color w:val="000000"/>
          <w:sz w:val="32"/>
          <w:szCs w:val="32"/>
        </w:rPr>
        <w:t>de mecanismos eficaces de protección de las mujeres y niñas víctimas de violencia de género, delitos sexuales o mutilación genital femenina, incluyendo mecanismos de asistencia, denuncias e i</w:t>
      </w:r>
      <w:r>
        <w:rPr>
          <w:rFonts w:cstheme="minorHAnsi"/>
          <w:bCs/>
          <w:color w:val="000000"/>
          <w:sz w:val="32"/>
          <w:szCs w:val="32"/>
        </w:rPr>
        <w:t>nvestigación</w:t>
      </w:r>
      <w:r w:rsidRPr="009538C3">
        <w:rPr>
          <w:rFonts w:cstheme="minorHAnsi"/>
          <w:bCs/>
          <w:color w:val="000000"/>
          <w:sz w:val="32"/>
          <w:szCs w:val="32"/>
        </w:rPr>
        <w:t>.</w:t>
      </w:r>
    </w:p>
    <w:p w:rsidR="009538C3" w:rsidRDefault="009538C3" w:rsidP="009538C3">
      <w:pPr>
        <w:jc w:val="both"/>
        <w:rPr>
          <w:rFonts w:cstheme="minorHAnsi"/>
          <w:bCs/>
          <w:color w:val="000000"/>
          <w:sz w:val="32"/>
          <w:szCs w:val="32"/>
        </w:rPr>
      </w:pPr>
    </w:p>
    <w:p w:rsidR="009538C3" w:rsidRDefault="009538C3" w:rsidP="009538C3">
      <w:pPr>
        <w:jc w:val="both"/>
        <w:rPr>
          <w:rFonts w:cstheme="minorHAnsi"/>
          <w:bCs/>
          <w:color w:val="000000"/>
          <w:sz w:val="32"/>
          <w:szCs w:val="32"/>
        </w:rPr>
      </w:pPr>
    </w:p>
    <w:p w:rsidR="009538C3" w:rsidRDefault="009538C3" w:rsidP="009538C3">
      <w:pPr>
        <w:jc w:val="both"/>
        <w:rPr>
          <w:rFonts w:cstheme="minorHAnsi"/>
          <w:bCs/>
          <w:color w:val="000000"/>
          <w:sz w:val="32"/>
          <w:szCs w:val="32"/>
        </w:rPr>
      </w:pPr>
    </w:p>
    <w:p w:rsidR="009538C3" w:rsidRDefault="009538C3" w:rsidP="009538C3">
      <w:pPr>
        <w:jc w:val="both"/>
        <w:rPr>
          <w:rFonts w:cstheme="minorHAnsi"/>
          <w:bCs/>
          <w:color w:val="000000"/>
          <w:sz w:val="32"/>
          <w:szCs w:val="32"/>
        </w:rPr>
      </w:pPr>
    </w:p>
    <w:p w:rsidR="009538C3" w:rsidRPr="009538C3" w:rsidRDefault="009538C3" w:rsidP="009538C3">
      <w:pPr>
        <w:jc w:val="both"/>
        <w:rPr>
          <w:rFonts w:cstheme="minorHAnsi"/>
          <w:bCs/>
          <w:color w:val="000000"/>
          <w:sz w:val="32"/>
          <w:szCs w:val="32"/>
        </w:rPr>
      </w:pPr>
    </w:p>
    <w:p w:rsidR="009538C3" w:rsidRPr="009538C3" w:rsidRDefault="009538C3" w:rsidP="009538C3">
      <w:pPr>
        <w:spacing w:line="240" w:lineRule="auto"/>
        <w:jc w:val="both"/>
        <w:rPr>
          <w:rFonts w:cstheme="minorHAnsi"/>
          <w:sz w:val="32"/>
          <w:szCs w:val="32"/>
        </w:rPr>
      </w:pPr>
      <w:r w:rsidRPr="009538C3">
        <w:rPr>
          <w:rFonts w:cstheme="minorHAnsi"/>
          <w:bCs/>
          <w:color w:val="000000"/>
          <w:sz w:val="32"/>
          <w:szCs w:val="32"/>
        </w:rPr>
        <w:t xml:space="preserve">Finalmente, mi país recomienda </w:t>
      </w:r>
      <w:r w:rsidRPr="009538C3">
        <w:rPr>
          <w:rFonts w:cstheme="minorHAnsi"/>
          <w:b/>
          <w:bCs/>
          <w:color w:val="000000"/>
          <w:sz w:val="32"/>
          <w:szCs w:val="32"/>
        </w:rPr>
        <w:t>(5)</w:t>
      </w:r>
      <w:r w:rsidRPr="009538C3">
        <w:rPr>
          <w:rFonts w:cstheme="minorHAnsi"/>
          <w:bCs/>
          <w:color w:val="000000"/>
          <w:sz w:val="32"/>
          <w:szCs w:val="32"/>
        </w:rPr>
        <w:t xml:space="preserve"> la derogación de las disposiciones del Código Penal que criminalizan las relaciones consentidas entre adultos del mismo sexo.</w:t>
      </w:r>
    </w:p>
    <w:sectPr w:rsidR="009538C3" w:rsidRPr="009538C3" w:rsidSect="00822C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2F" w:rsidRDefault="005F0C2F" w:rsidP="00AD43CE">
      <w:pPr>
        <w:spacing w:after="0" w:line="240" w:lineRule="auto"/>
      </w:pPr>
      <w:r>
        <w:separator/>
      </w:r>
    </w:p>
  </w:endnote>
  <w:endnote w:type="continuationSeparator" w:id="1">
    <w:p w:rsidR="005F0C2F" w:rsidRDefault="005F0C2F" w:rsidP="00A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2F" w:rsidRDefault="005F0C2F" w:rsidP="00AD43CE">
      <w:pPr>
        <w:spacing w:after="0" w:line="240" w:lineRule="auto"/>
      </w:pPr>
      <w:r>
        <w:separator/>
      </w:r>
    </w:p>
  </w:footnote>
  <w:footnote w:type="continuationSeparator" w:id="1">
    <w:p w:rsidR="005F0C2F" w:rsidRDefault="005F0C2F" w:rsidP="00AD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CF" w:rsidRDefault="00822CCF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8.45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822CC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-462068</wp:posOffset>
          </wp:positionH>
          <wp:positionV relativeFrom="paragraph">
            <wp:posOffset>121920</wp:posOffset>
          </wp:positionV>
          <wp:extent cx="911860" cy="1007322"/>
          <wp:effectExtent l="0" t="0" r="2540" b="444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058"/>
    <w:multiLevelType w:val="hybridMultilevel"/>
    <w:tmpl w:val="B6D0D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4056"/>
    <w:rsid w:val="000E4439"/>
    <w:rsid w:val="00186CA6"/>
    <w:rsid w:val="00217330"/>
    <w:rsid w:val="0024428B"/>
    <w:rsid w:val="00296AA4"/>
    <w:rsid w:val="002A453D"/>
    <w:rsid w:val="00332D27"/>
    <w:rsid w:val="003C18EB"/>
    <w:rsid w:val="00530575"/>
    <w:rsid w:val="005A375D"/>
    <w:rsid w:val="005F0C2F"/>
    <w:rsid w:val="00624F67"/>
    <w:rsid w:val="00674056"/>
    <w:rsid w:val="006C7BD1"/>
    <w:rsid w:val="007849B3"/>
    <w:rsid w:val="007A6D2F"/>
    <w:rsid w:val="007B530A"/>
    <w:rsid w:val="00814698"/>
    <w:rsid w:val="00822CCF"/>
    <w:rsid w:val="008A7A1A"/>
    <w:rsid w:val="008B2F1B"/>
    <w:rsid w:val="008F0D73"/>
    <w:rsid w:val="008F6C21"/>
    <w:rsid w:val="009538C3"/>
    <w:rsid w:val="00A530FA"/>
    <w:rsid w:val="00AD43CE"/>
    <w:rsid w:val="00B04F19"/>
    <w:rsid w:val="00B9166B"/>
    <w:rsid w:val="00C60DF3"/>
    <w:rsid w:val="00CA0B15"/>
    <w:rsid w:val="00CE6F28"/>
    <w:rsid w:val="00D66214"/>
    <w:rsid w:val="00E144E2"/>
    <w:rsid w:val="00ED4351"/>
    <w:rsid w:val="00ED763F"/>
    <w:rsid w:val="00F21AB2"/>
    <w:rsid w:val="00FD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C21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F6C2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8F6C21"/>
    <w:rPr>
      <w:rFonts w:ascii="Calibri" w:eastAsia="Calibri" w:hAnsi="Calibri" w:cs="Times New Roman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D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CE"/>
  </w:style>
  <w:style w:type="paragraph" w:styleId="Piedepgina">
    <w:name w:val="footer"/>
    <w:basedOn w:val="Normal"/>
    <w:link w:val="PiedepginaCar"/>
    <w:uiPriority w:val="99"/>
    <w:unhideWhenUsed/>
    <w:rsid w:val="00AD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575D5-7FFC-47AF-8EDD-5F096DE09F6C}"/>
</file>

<file path=customXml/itemProps2.xml><?xml version="1.0" encoding="utf-8"?>
<ds:datastoreItem xmlns:ds="http://schemas.openxmlformats.org/officeDocument/2006/customXml" ds:itemID="{3D11E169-0A5E-450B-9E9A-513BB9DB82E7}"/>
</file>

<file path=customXml/itemProps3.xml><?xml version="1.0" encoding="utf-8"?>
<ds:datastoreItem xmlns:ds="http://schemas.openxmlformats.org/officeDocument/2006/customXml" ds:itemID="{E5A791CF-78DA-4A30-9B7A-978745A34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Menchon López, Isabel</dc:creator>
  <cp:lastModifiedBy>FINA</cp:lastModifiedBy>
  <cp:revision>2</cp:revision>
  <dcterms:created xsi:type="dcterms:W3CDTF">2022-01-20T09:46:00Z</dcterms:created>
  <dcterms:modified xsi:type="dcterms:W3CDTF">2022-01-20T09:46:00Z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