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40502" w14:textId="77777777" w:rsidR="004619A3" w:rsidRDefault="00113A9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UPR of </w:t>
      </w:r>
      <w:r>
        <w:rPr>
          <w:rFonts w:ascii="Calibri" w:hAnsi="Calibri" w:hint="eastAsia"/>
          <w:b/>
          <w:sz w:val="28"/>
        </w:rPr>
        <w:t>Venezuela</w:t>
      </w:r>
      <w:r>
        <w:rPr>
          <w:rFonts w:ascii="Calibri" w:hAnsi="Calibri"/>
          <w:b/>
          <w:sz w:val="28"/>
        </w:rPr>
        <w:t xml:space="preserve"> — Statement of Japan</w:t>
      </w:r>
    </w:p>
    <w:p w14:paraId="7780E7FA" w14:textId="34398E15" w:rsidR="004619A3" w:rsidRDefault="00674208">
      <w:pPr>
        <w:spacing w:line="360" w:lineRule="auto"/>
        <w:jc w:val="center"/>
        <w:rPr>
          <w:rFonts w:ascii="Calibri" w:hAnsi="Calibri"/>
          <w:b/>
          <w:sz w:val="28"/>
        </w:rPr>
      </w:pPr>
      <w:r w:rsidRPr="00674208">
        <w:rPr>
          <w:rFonts w:ascii="Calibri" w:hAnsi="Calibri"/>
          <w:b/>
          <w:sz w:val="28"/>
        </w:rPr>
        <w:t>TAKAI Ken</w:t>
      </w:r>
      <w:r w:rsidR="00113A90">
        <w:rPr>
          <w:rFonts w:ascii="Calibri" w:hAnsi="Calibri"/>
          <w:b/>
          <w:color w:val="FF0000"/>
          <w:sz w:val="28"/>
        </w:rPr>
        <w:t xml:space="preserve"> </w:t>
      </w:r>
    </w:p>
    <w:p w14:paraId="27506240" w14:textId="77777777" w:rsidR="004619A3" w:rsidRDefault="00113A90">
      <w:pPr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sz w:val="28"/>
        </w:rPr>
        <w:t>Position</w:t>
      </w:r>
      <w:r>
        <w:rPr>
          <w:rFonts w:ascii="Calibri" w:hAnsi="Calibri"/>
          <w:b/>
          <w:sz w:val="28"/>
        </w:rPr>
        <w:t>, Permanent Mission of Japan</w:t>
      </w:r>
    </w:p>
    <w:p w14:paraId="51D5F19D" w14:textId="77777777" w:rsidR="004619A3" w:rsidRDefault="00113A90">
      <w:pPr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25</w:t>
      </w:r>
      <w:r>
        <w:rPr>
          <w:rFonts w:ascii="Calibri" w:hAnsi="Calibri"/>
          <w:b/>
          <w:sz w:val="28"/>
          <w:vertAlign w:val="superscript"/>
        </w:rPr>
        <w:t>th</w:t>
      </w:r>
      <w:r>
        <w:rPr>
          <w:rFonts w:ascii="Calibri" w:hAnsi="Calibri"/>
          <w:b/>
          <w:sz w:val="28"/>
        </w:rPr>
        <w:t xml:space="preserve"> January 202</w:t>
      </w:r>
      <w:r>
        <w:rPr>
          <w:rFonts w:ascii="Calibri" w:hAnsi="Calibri" w:hint="eastAsia"/>
          <w:b/>
          <w:sz w:val="28"/>
        </w:rPr>
        <w:t>2</w:t>
      </w:r>
    </w:p>
    <w:p w14:paraId="17A2EF00" w14:textId="77777777" w:rsidR="004619A3" w:rsidRDefault="004619A3">
      <w:pPr>
        <w:rPr>
          <w:rFonts w:ascii="Calibri" w:hAnsi="Calibri"/>
          <w:sz w:val="28"/>
        </w:rPr>
      </w:pPr>
    </w:p>
    <w:p w14:paraId="60B79A1B" w14:textId="77777777" w:rsidR="004619A3" w:rsidRDefault="00113A9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Thank you</w:t>
      </w:r>
      <w:r>
        <w:rPr>
          <w:rFonts w:ascii="Calibri" w:hAnsi="Calibri" w:hint="eastAsia"/>
          <w:sz w:val="28"/>
        </w:rPr>
        <w:t>.</w:t>
      </w:r>
    </w:p>
    <w:p w14:paraId="7E9FE61B" w14:textId="77777777" w:rsidR="004619A3" w:rsidRDefault="004619A3">
      <w:pPr>
        <w:rPr>
          <w:rFonts w:ascii="Calibri" w:hAnsi="Calibri"/>
          <w:sz w:val="28"/>
        </w:rPr>
      </w:pPr>
    </w:p>
    <w:p w14:paraId="574B9404" w14:textId="77777777" w:rsidR="004619A3" w:rsidRDefault="00113A90">
      <w:pPr>
        <w:ind w:firstLineChars="150" w:firstLine="4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Japan warmly welcomes the delegation of Venezuela</w:t>
      </w:r>
      <w:r>
        <w:rPr>
          <w:rFonts w:ascii="Calibri" w:hAnsi="Calibri" w:hint="eastAsia"/>
          <w:sz w:val="28"/>
        </w:rPr>
        <w:t xml:space="preserve"> to this session</w:t>
      </w:r>
      <w:r>
        <w:rPr>
          <w:rFonts w:ascii="Calibri" w:hAnsi="Calibri"/>
          <w:sz w:val="28"/>
        </w:rPr>
        <w:t>.</w:t>
      </w:r>
    </w:p>
    <w:p w14:paraId="097A4130" w14:textId="77777777" w:rsidR="004619A3" w:rsidRDefault="004619A3">
      <w:pPr>
        <w:rPr>
          <w:rFonts w:ascii="Calibri" w:hAnsi="Calibri"/>
          <w:sz w:val="28"/>
        </w:rPr>
      </w:pPr>
    </w:p>
    <w:p w14:paraId="322378D9" w14:textId="1BA2CFC7" w:rsidR="004619A3" w:rsidRDefault="00113A90">
      <w:pPr>
        <w:ind w:firstLineChars="150" w:firstLine="4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Japan </w:t>
      </w:r>
      <w:r w:rsidR="00E71C4D">
        <w:rPr>
          <w:rFonts w:ascii="Calibri" w:hAnsi="Calibri"/>
          <w:sz w:val="28"/>
        </w:rPr>
        <w:t>takes note of</w:t>
      </w:r>
      <w:r>
        <w:rPr>
          <w:rFonts w:ascii="Calibri" w:hAnsi="Calibri"/>
          <w:sz w:val="28"/>
        </w:rPr>
        <w:t xml:space="preserve"> positive steps taken by Venezuela since the previous review cycle, notably its cooperation with the </w:t>
      </w:r>
      <w:r w:rsidR="00CD14C2">
        <w:rPr>
          <w:rFonts w:ascii="Calibri" w:hAnsi="Calibri"/>
          <w:sz w:val="28"/>
        </w:rPr>
        <w:t>OHCHR</w:t>
      </w:r>
      <w:r>
        <w:rPr>
          <w:rFonts w:ascii="Calibri" w:hAnsi="Calibri"/>
          <w:sz w:val="28"/>
        </w:rPr>
        <w:t xml:space="preserve"> through the signing of the </w:t>
      </w:r>
      <w:r w:rsidR="00CD14C2">
        <w:rPr>
          <w:rFonts w:ascii="Calibri" w:hAnsi="Calibri"/>
          <w:sz w:val="28"/>
        </w:rPr>
        <w:t>MOU</w:t>
      </w:r>
      <w:r>
        <w:rPr>
          <w:rFonts w:ascii="Calibri" w:hAnsi="Calibri"/>
          <w:sz w:val="28"/>
        </w:rPr>
        <w:t xml:space="preserve"> in 2019 to establish an official OHCHR filed presence</w:t>
      </w:r>
      <w:r>
        <w:rPr>
          <w:rFonts w:ascii="Calibri" w:hAnsi="Calibri" w:hint="eastAsia"/>
          <w:sz w:val="28"/>
        </w:rPr>
        <w:t xml:space="preserve"> and the start of the National Dialogue </w:t>
      </w:r>
      <w:r>
        <w:rPr>
          <w:rFonts w:ascii="Calibri" w:hAnsi="Calibri"/>
          <w:sz w:val="28"/>
        </w:rPr>
        <w:t xml:space="preserve">in 2021, hoping </w:t>
      </w:r>
      <w:r w:rsidR="00CD14C2">
        <w:rPr>
          <w:rFonts w:ascii="Calibri" w:hAnsi="Calibri"/>
          <w:sz w:val="28"/>
        </w:rPr>
        <w:t xml:space="preserve">for </w:t>
      </w:r>
      <w:r>
        <w:rPr>
          <w:rFonts w:ascii="Calibri" w:hAnsi="Calibri"/>
          <w:sz w:val="28"/>
        </w:rPr>
        <w:t>its immediate resumption this year.</w:t>
      </w:r>
    </w:p>
    <w:p w14:paraId="58D0B916" w14:textId="77777777" w:rsidR="004619A3" w:rsidRDefault="004619A3">
      <w:pPr>
        <w:ind w:firstLineChars="150" w:firstLine="420"/>
        <w:rPr>
          <w:rFonts w:ascii="Calibri" w:hAnsi="Calibri"/>
          <w:sz w:val="28"/>
        </w:rPr>
      </w:pPr>
    </w:p>
    <w:p w14:paraId="5A5972F5" w14:textId="77777777" w:rsidR="004619A3" w:rsidRDefault="00113A90">
      <w:pPr>
        <w:ind w:firstLineChars="150" w:firstLine="4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Japan would like to make three recommendations:</w:t>
      </w:r>
    </w:p>
    <w:p w14:paraId="349C0569" w14:textId="77777777" w:rsidR="004619A3" w:rsidRDefault="004619A3">
      <w:pPr>
        <w:ind w:firstLineChars="150" w:firstLine="420"/>
        <w:rPr>
          <w:rFonts w:ascii="Calibri" w:hAnsi="Calibri"/>
          <w:sz w:val="28"/>
        </w:rPr>
      </w:pPr>
    </w:p>
    <w:p w14:paraId="60884FE7" w14:textId="51F2C801" w:rsidR="004619A3" w:rsidRDefault="00113A9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expand areas of cooperation with the OHCHR</w:t>
      </w:r>
      <w:r>
        <w:rPr>
          <w:rFonts w:ascii="Calibri" w:hAnsi="Calibri" w:hint="eastAsia"/>
          <w:sz w:val="28"/>
        </w:rPr>
        <w:t xml:space="preserve">, including by </w:t>
      </w:r>
      <w:r>
        <w:rPr>
          <w:rFonts w:ascii="Calibri" w:hAnsi="Calibri"/>
          <w:sz w:val="28"/>
        </w:rPr>
        <w:t>assuring the free and safe movement of the OHCHR staff and their unhindered access to detention centers and other facilities</w:t>
      </w:r>
      <w:r w:rsidR="008B1206">
        <w:rPr>
          <w:rFonts w:ascii="Calibri" w:hAnsi="Calibri" w:hint="eastAsia"/>
          <w:sz w:val="28"/>
        </w:rPr>
        <w:t>, and promote cooperation with ICC</w:t>
      </w:r>
      <w:r>
        <w:rPr>
          <w:rFonts w:ascii="Calibri" w:hAnsi="Calibri"/>
          <w:sz w:val="28"/>
        </w:rPr>
        <w:t>;</w:t>
      </w:r>
    </w:p>
    <w:p w14:paraId="032FA013" w14:textId="77777777" w:rsidR="004619A3" w:rsidRDefault="004619A3">
      <w:pPr>
        <w:pStyle w:val="a5"/>
        <w:ind w:leftChars="0" w:left="480"/>
        <w:rPr>
          <w:rFonts w:ascii="Calibri" w:hAnsi="Calibri"/>
          <w:sz w:val="28"/>
        </w:rPr>
      </w:pPr>
    </w:p>
    <w:p w14:paraId="551CA8C8" w14:textId="77777777" w:rsidR="004619A3" w:rsidRDefault="00113A9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ratify the International Convention for Protection of All Persons from Enforced Disappearance (CED) as early as possible</w:t>
      </w:r>
      <w:r>
        <w:rPr>
          <w:rFonts w:ascii="Calibri" w:hAnsi="Calibri"/>
          <w:kern w:val="0"/>
          <w:sz w:val="28"/>
        </w:rPr>
        <w:t xml:space="preserve"> </w:t>
      </w:r>
      <w:r>
        <w:rPr>
          <w:rFonts w:ascii="Calibri" w:hAnsi="Calibri"/>
          <w:sz w:val="28"/>
        </w:rPr>
        <w:t>; and</w:t>
      </w:r>
    </w:p>
    <w:p w14:paraId="28C6BE49" w14:textId="77777777" w:rsidR="004619A3" w:rsidRDefault="004619A3">
      <w:pPr>
        <w:pStyle w:val="a5"/>
        <w:ind w:leftChars="0" w:left="480"/>
        <w:rPr>
          <w:rFonts w:ascii="Calibri" w:hAnsi="Calibri"/>
          <w:sz w:val="28"/>
        </w:rPr>
      </w:pPr>
    </w:p>
    <w:p w14:paraId="6B7ED00E" w14:textId="04A803D4" w:rsidR="004619A3" w:rsidRDefault="00113A9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take concrete measures to ensure freedoms of opinion and expression as well as freedom of media</w:t>
      </w:r>
      <w:r>
        <w:rPr>
          <w:rFonts w:ascii="Calibri" w:hAnsi="Calibri" w:hint="eastAsia"/>
          <w:sz w:val="28"/>
        </w:rPr>
        <w:t xml:space="preserve"> taking into </w:t>
      </w:r>
      <w:r>
        <w:rPr>
          <w:rFonts w:ascii="Calibri" w:hAnsi="Calibri"/>
          <w:sz w:val="28"/>
        </w:rPr>
        <w:t>account</w:t>
      </w:r>
      <w:r>
        <w:rPr>
          <w:rFonts w:ascii="Calibri" w:hAnsi="Calibri" w:hint="eastAsia"/>
          <w:sz w:val="28"/>
        </w:rPr>
        <w:t xml:space="preserve"> </w:t>
      </w:r>
      <w:r>
        <w:rPr>
          <w:rFonts w:ascii="Calibri" w:hAnsi="Calibri"/>
          <w:sz w:val="28"/>
        </w:rPr>
        <w:t xml:space="preserve">reports submitted by  human rights </w:t>
      </w:r>
      <w:r w:rsidR="007A214E">
        <w:rPr>
          <w:rFonts w:ascii="Calibri" w:hAnsi="Calibri"/>
          <w:sz w:val="28"/>
        </w:rPr>
        <w:t xml:space="preserve">treaty </w:t>
      </w:r>
      <w:bookmarkStart w:id="0" w:name="_GoBack"/>
      <w:bookmarkEnd w:id="0"/>
      <w:r>
        <w:rPr>
          <w:rFonts w:ascii="Calibri" w:hAnsi="Calibri"/>
          <w:sz w:val="28"/>
        </w:rPr>
        <w:t>bodies and institutions.</w:t>
      </w:r>
    </w:p>
    <w:p w14:paraId="0117AC68" w14:textId="77777777" w:rsidR="004619A3" w:rsidRDefault="004619A3">
      <w:pPr>
        <w:rPr>
          <w:rFonts w:ascii="Calibri" w:hAnsi="Calibri"/>
          <w:sz w:val="28"/>
        </w:rPr>
      </w:pPr>
    </w:p>
    <w:p w14:paraId="043DC3FD" w14:textId="77777777" w:rsidR="004619A3" w:rsidRDefault="00113A9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We wish the delegation of Venezuela every success in the review.</w:t>
      </w:r>
    </w:p>
    <w:p w14:paraId="509468D9" w14:textId="77777777" w:rsidR="004619A3" w:rsidRDefault="004619A3">
      <w:pPr>
        <w:rPr>
          <w:sz w:val="28"/>
        </w:rPr>
      </w:pPr>
    </w:p>
    <w:p w14:paraId="68872B0C" w14:textId="77777777" w:rsidR="004619A3" w:rsidRDefault="00113A90">
      <w:r>
        <w:rPr>
          <w:rFonts w:ascii="Calibri" w:hAnsi="Calibri"/>
          <w:sz w:val="28"/>
        </w:rPr>
        <w:t>I thank you.</w:t>
      </w:r>
    </w:p>
    <w:sectPr w:rsidR="004619A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7794" w14:textId="77777777" w:rsidR="004011CC" w:rsidRDefault="004011CC">
      <w:r>
        <w:separator/>
      </w:r>
    </w:p>
  </w:endnote>
  <w:endnote w:type="continuationSeparator" w:id="0">
    <w:p w14:paraId="431F240C" w14:textId="77777777" w:rsidR="004011CC" w:rsidRDefault="004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AE66" w14:textId="77777777" w:rsidR="004011CC" w:rsidRDefault="004011CC">
      <w:r>
        <w:separator/>
      </w:r>
    </w:p>
  </w:footnote>
  <w:footnote w:type="continuationSeparator" w:id="0">
    <w:p w14:paraId="53947614" w14:textId="77777777" w:rsidR="004011CC" w:rsidRDefault="0040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A3"/>
    <w:rsid w:val="00027CA8"/>
    <w:rsid w:val="00040803"/>
    <w:rsid w:val="00113A90"/>
    <w:rsid w:val="00206A0C"/>
    <w:rsid w:val="004011CC"/>
    <w:rsid w:val="004619A3"/>
    <w:rsid w:val="00674208"/>
    <w:rsid w:val="007A214E"/>
    <w:rsid w:val="008B1206"/>
    <w:rsid w:val="00CD14C2"/>
    <w:rsid w:val="00E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DBA79"/>
  <w15:chartTrackingRefBased/>
  <w15:docId w15:val="{996CD6EE-9409-4F88-BD0F-A888345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コメント文字列 (文字)"/>
    <w:basedOn w:val="a0"/>
    <w:link w:val="a3"/>
    <w:rPr>
      <w:sz w:val="20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annotation reference"/>
    <w:basedOn w:val="a0"/>
    <w:semiHidden/>
    <w:rPr>
      <w:sz w:val="16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Plain Text"/>
    <w:basedOn w:val="a"/>
    <w:link w:val="ae"/>
    <w:pPr>
      <w:jc w:val="left"/>
    </w:pPr>
    <w:rPr>
      <w:rFonts w:ascii="Yu Gothic" w:eastAsia="Yu Gothic" w:hAnsi="Yu Gothic"/>
      <w:sz w:val="22"/>
    </w:rPr>
  </w:style>
  <w:style w:type="character" w:customStyle="1" w:styleId="ae">
    <w:name w:val="書式なし (文字)"/>
    <w:basedOn w:val="a0"/>
    <w:link w:val="ad"/>
    <w:rPr>
      <w:rFonts w:ascii="Yu Gothic" w:eastAsia="Yu Gothic" w:hAnsi="Yu Gothic"/>
      <w:sz w:val="22"/>
    </w:rPr>
  </w:style>
  <w:style w:type="paragraph" w:styleId="af">
    <w:name w:val="annotation subject"/>
    <w:basedOn w:val="a3"/>
    <w:next w:val="a3"/>
    <w:link w:val="af0"/>
    <w:semiHidden/>
    <w:pPr>
      <w:jc w:val="left"/>
    </w:pPr>
    <w:rPr>
      <w:b/>
      <w:sz w:val="21"/>
    </w:rPr>
  </w:style>
  <w:style w:type="character" w:customStyle="1" w:styleId="af0">
    <w:name w:val="コメント内容 (文字)"/>
    <w:basedOn w:val="a4"/>
    <w:link w:val="af"/>
    <w:rPr>
      <w:b/>
      <w:sz w:val="20"/>
    </w:rPr>
  </w:style>
  <w:style w:type="paragraph" w:styleId="af1">
    <w:name w:val="Revis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063EA-B54E-4275-8936-C322ABD1C812}"/>
</file>

<file path=customXml/itemProps2.xml><?xml version="1.0" encoding="utf-8"?>
<ds:datastoreItem xmlns:ds="http://schemas.openxmlformats.org/officeDocument/2006/customXml" ds:itemID="{38A97D1E-CC78-44B4-AC33-DAECCB4198F9}"/>
</file>

<file path=customXml/itemProps3.xml><?xml version="1.0" encoding="utf-8"?>
<ds:datastoreItem xmlns:ds="http://schemas.openxmlformats.org/officeDocument/2006/customXml" ds:itemID="{1120D57D-B4B4-4BF8-B560-CA75A8A5D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寿府</cp:lastModifiedBy>
  <cp:revision>4</cp:revision>
  <cp:lastPrinted>2022-01-19T10:06:00Z</cp:lastPrinted>
  <dcterms:created xsi:type="dcterms:W3CDTF">2022-01-19T09:29:00Z</dcterms:created>
  <dcterms:modified xsi:type="dcterms:W3CDTF">2022-01-19T11:27:00Z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