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B094C" w:rsidRPr="008D5AE7" w:rsidRDefault="005C30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  <w:r w:rsidRPr="008D5AE7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  <w:t xml:space="preserve">40° SESIÓN DEL GRUPO DE TRABAJO DEL EXAMEN PERIÓDICO UNIVERSAL </w:t>
      </w:r>
    </w:p>
    <w:p w14:paraId="00000002" w14:textId="77777777" w:rsidR="002B094C" w:rsidRPr="008D5AE7" w:rsidRDefault="002B0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</w:p>
    <w:p w14:paraId="00000003" w14:textId="77777777" w:rsidR="002B094C" w:rsidRPr="008D5AE7" w:rsidRDefault="005C30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  <w:r w:rsidRPr="008D5AE7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  <w:t xml:space="preserve">EXAMEN DE </w:t>
      </w:r>
      <w:r w:rsidRPr="008D5AE7">
        <w:rPr>
          <w:rFonts w:ascii="Helvetica Neue" w:eastAsia="Helvetica Neue" w:hAnsi="Helvetica Neue" w:cs="Helvetica Neue"/>
          <w:b/>
          <w:sz w:val="22"/>
          <w:szCs w:val="22"/>
          <w:lang w:val="es-AR"/>
        </w:rPr>
        <w:t>LITUANIA</w:t>
      </w:r>
    </w:p>
    <w:p w14:paraId="00000004" w14:textId="77777777" w:rsidR="002B094C" w:rsidRPr="008D5AE7" w:rsidRDefault="002B0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</w:p>
    <w:p w14:paraId="00000005" w14:textId="77777777" w:rsidR="002B094C" w:rsidRPr="008D5AE7" w:rsidRDefault="005C30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  <w:r w:rsidRPr="008D5AE7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  <w:t>2</w:t>
      </w:r>
      <w:r w:rsidRPr="008D5AE7">
        <w:rPr>
          <w:rFonts w:ascii="Helvetica Neue" w:eastAsia="Helvetica Neue" w:hAnsi="Helvetica Neue" w:cs="Helvetica Neue"/>
          <w:b/>
          <w:sz w:val="22"/>
          <w:szCs w:val="22"/>
          <w:lang w:val="es-AR"/>
        </w:rPr>
        <w:t>6</w:t>
      </w:r>
      <w:r w:rsidRPr="008D5AE7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  <w:t xml:space="preserve"> de enero de 2022</w:t>
      </w:r>
    </w:p>
    <w:p w14:paraId="00000006" w14:textId="77777777" w:rsidR="002B094C" w:rsidRPr="008D5AE7" w:rsidRDefault="002B0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</w:p>
    <w:p w14:paraId="00000007" w14:textId="77777777" w:rsidR="002B094C" w:rsidRPr="008D5AE7" w:rsidRDefault="005C30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AR"/>
        </w:rPr>
      </w:pPr>
      <w:r w:rsidRPr="008D5AE7">
        <w:rPr>
          <w:b/>
          <w:color w:val="000000"/>
          <w:u w:val="single"/>
          <w:lang w:val="es-AR"/>
        </w:rPr>
        <w:t>INTERVENCIÓN DE URUGUAY</w:t>
      </w:r>
    </w:p>
    <w:p w14:paraId="00000008" w14:textId="7A9274FD" w:rsidR="002B094C" w:rsidRPr="008D5AE7" w:rsidRDefault="008D5A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lang w:val="es-AR"/>
        </w:rPr>
      </w:pPr>
      <w:r w:rsidRPr="008D5AE7">
        <w:rPr>
          <w:bCs/>
          <w:color w:val="000000"/>
          <w:lang w:val="es-AR"/>
        </w:rPr>
        <w:t xml:space="preserve">(1,20 minutos disponibles). </w:t>
      </w:r>
    </w:p>
    <w:p w14:paraId="00000009" w14:textId="77777777" w:rsidR="002B094C" w:rsidRPr="008D5AE7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AR"/>
        </w:rPr>
      </w:pPr>
    </w:p>
    <w:p w14:paraId="0000000A" w14:textId="5F9F0545" w:rsidR="002B094C" w:rsidRPr="005C3005" w:rsidRDefault="005C300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AR"/>
        </w:rPr>
      </w:pPr>
      <w:r w:rsidRPr="005C3005">
        <w:rPr>
          <w:color w:val="000000"/>
          <w:lang w:val="es-AR"/>
        </w:rPr>
        <w:t>Uruguay da la bienvenida a la Delegación d</w:t>
      </w:r>
      <w:r w:rsidRPr="005C3005">
        <w:rPr>
          <w:lang w:val="es-AR"/>
        </w:rPr>
        <w:t>e Lituania</w:t>
      </w:r>
      <w:r w:rsidRPr="005C3005">
        <w:rPr>
          <w:color w:val="000000"/>
          <w:lang w:val="es-AR"/>
        </w:rPr>
        <w:t xml:space="preserve"> y le agradece la presentación de su informe, saludando los esfuerzos realizados por el país desde el segundo ciclo de su EPU en materia de derechos humanos, inclusive mediante el </w:t>
      </w:r>
      <w:r w:rsidRPr="005C3005">
        <w:rPr>
          <w:color w:val="000000"/>
          <w:lang w:val="es-AR"/>
        </w:rPr>
        <w:t>Plan de Acción 2021-2023 para la Promoción de</w:t>
      </w:r>
      <w:r w:rsidRPr="005C3005">
        <w:rPr>
          <w:lang w:val="es-AR"/>
        </w:rPr>
        <w:t xml:space="preserve"> </w:t>
      </w:r>
      <w:r w:rsidRPr="005C3005">
        <w:rPr>
          <w:color w:val="000000"/>
          <w:lang w:val="es-AR"/>
        </w:rPr>
        <w:t>la No Discriminación.</w:t>
      </w:r>
    </w:p>
    <w:p w14:paraId="0000000B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</w:p>
    <w:p w14:paraId="0000000C" w14:textId="77777777" w:rsidR="002B094C" w:rsidRPr="005C3005" w:rsidRDefault="005C30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  <w:r w:rsidRPr="005C3005">
        <w:rPr>
          <w:lang w:val="es-AR"/>
        </w:rPr>
        <w:t>C</w:t>
      </w:r>
      <w:r w:rsidRPr="005C3005">
        <w:rPr>
          <w:color w:val="000000"/>
          <w:lang w:val="es-AR"/>
        </w:rPr>
        <w:t>onstr</w:t>
      </w:r>
      <w:r w:rsidRPr="005C3005">
        <w:rPr>
          <w:color w:val="000000"/>
          <w:lang w:val="es-AR"/>
        </w:rPr>
        <w:t xml:space="preserve">uctivamente recomendamos: </w:t>
      </w:r>
    </w:p>
    <w:p w14:paraId="0000000D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</w:p>
    <w:p w14:paraId="0000000E" w14:textId="77777777" w:rsidR="002B094C" w:rsidRPr="005C3005" w:rsidRDefault="005C3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  <w:r w:rsidRPr="005C3005">
        <w:rPr>
          <w:lang w:val="es-AR"/>
        </w:rPr>
        <w:t>Establecer un procedimiento formal de identificación y determinación de la apatridia, conforme a las obligaciones y estándares de derechos humanos, y alentar la revisión de la ley de nacionalidad para que los niños apátridas nacidos en el Estado puedan ten</w:t>
      </w:r>
      <w:r w:rsidRPr="005C3005">
        <w:rPr>
          <w:lang w:val="es-AR"/>
        </w:rPr>
        <w:t xml:space="preserve">er derecho a adquirir la nacionalidad lituana. </w:t>
      </w:r>
    </w:p>
    <w:p w14:paraId="0000000F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es-AR"/>
        </w:rPr>
      </w:pPr>
    </w:p>
    <w:p w14:paraId="00000010" w14:textId="3D17D1DD" w:rsidR="002B094C" w:rsidRPr="005C3005" w:rsidRDefault="005C3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es-AR"/>
        </w:rPr>
      </w:pPr>
      <w:r w:rsidRPr="005C3005">
        <w:rPr>
          <w:lang w:val="es-AR"/>
        </w:rPr>
        <w:t xml:space="preserve">Continuar reafirmando su compromiso con los principios de igualdad y no discriminación, inclusive </w:t>
      </w:r>
      <w:r>
        <w:rPr>
          <w:lang w:val="es-AR"/>
        </w:rPr>
        <w:t>promoviendo</w:t>
      </w:r>
      <w:r w:rsidRPr="005C3005">
        <w:rPr>
          <w:lang w:val="es-AR"/>
        </w:rPr>
        <w:t xml:space="preserve"> la introducción de legislación orientada a reconocer las parejas del mismo sexo y sus derechos en ig</w:t>
      </w:r>
      <w:r w:rsidRPr="005C3005">
        <w:rPr>
          <w:lang w:val="es-AR"/>
        </w:rPr>
        <w:t xml:space="preserve">ualdad de condiciones. </w:t>
      </w:r>
    </w:p>
    <w:p w14:paraId="00000011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AR"/>
        </w:rPr>
      </w:pPr>
    </w:p>
    <w:p w14:paraId="00000012" w14:textId="77777777" w:rsidR="002B094C" w:rsidRPr="005C3005" w:rsidRDefault="005C3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es-AR"/>
        </w:rPr>
      </w:pPr>
      <w:r w:rsidRPr="005C3005">
        <w:rPr>
          <w:lang w:val="es-AR"/>
        </w:rPr>
        <w:t>Intensificar los esfuerzos para completar la reforma del sistema infantil de cuidados, aumentando la inversión en servicios sociales para evitar separaciones familiares innecesarias, y proporcionando opciones de cuidado alternativo</w:t>
      </w:r>
      <w:r w:rsidRPr="005C3005">
        <w:rPr>
          <w:lang w:val="es-AR"/>
        </w:rPr>
        <w:t xml:space="preserve"> de calidad, priorizando las soluciones basadas en las familias.</w:t>
      </w:r>
    </w:p>
    <w:p w14:paraId="00000013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lang w:val="es-AR"/>
        </w:rPr>
      </w:pPr>
    </w:p>
    <w:p w14:paraId="00000014" w14:textId="77777777" w:rsidR="002B094C" w:rsidRPr="005C3005" w:rsidRDefault="005C30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  <w:r w:rsidRPr="005C3005">
        <w:rPr>
          <w:color w:val="000000"/>
          <w:lang w:val="es-AR"/>
        </w:rPr>
        <w:t xml:space="preserve">Por último, Uruguay le desea éxito a </w:t>
      </w:r>
      <w:r w:rsidRPr="005C3005">
        <w:rPr>
          <w:lang w:val="es-AR"/>
        </w:rPr>
        <w:t>Lituania</w:t>
      </w:r>
      <w:r w:rsidRPr="005C3005">
        <w:rPr>
          <w:color w:val="000000"/>
          <w:lang w:val="es-AR"/>
        </w:rPr>
        <w:t xml:space="preserve"> en la implementación de las recomendaciones aceptadas. </w:t>
      </w:r>
    </w:p>
    <w:p w14:paraId="00000015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</w:p>
    <w:p w14:paraId="00000016" w14:textId="77777777" w:rsidR="002B094C" w:rsidRPr="005C3005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</w:p>
    <w:p w14:paraId="00000017" w14:textId="77777777" w:rsidR="002B094C" w:rsidRPr="005C3005" w:rsidRDefault="005C30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AR"/>
        </w:rPr>
      </w:pPr>
      <w:r w:rsidRPr="005C3005">
        <w:rPr>
          <w:color w:val="000000"/>
          <w:lang w:val="es-AR"/>
        </w:rPr>
        <w:t xml:space="preserve">Muchas gracias. </w:t>
      </w:r>
    </w:p>
    <w:p w14:paraId="00000018" w14:textId="77777777" w:rsidR="002B094C" w:rsidRDefault="002B09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2B094C" w:rsidRDefault="002B094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B094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5A32" w14:textId="77777777" w:rsidR="00000000" w:rsidRDefault="005C3005">
      <w:r>
        <w:separator/>
      </w:r>
    </w:p>
  </w:endnote>
  <w:endnote w:type="continuationSeparator" w:id="0">
    <w:p w14:paraId="5E94941B" w14:textId="77777777" w:rsidR="00000000" w:rsidRDefault="005C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2B094C" w:rsidRDefault="002B0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070F" w14:textId="77777777" w:rsidR="00000000" w:rsidRDefault="005C3005">
      <w:r>
        <w:separator/>
      </w:r>
    </w:p>
  </w:footnote>
  <w:footnote w:type="continuationSeparator" w:id="0">
    <w:p w14:paraId="37E50524" w14:textId="77777777" w:rsidR="00000000" w:rsidRDefault="005C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B094C" w:rsidRDefault="002B09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7959"/>
    <w:multiLevelType w:val="multilevel"/>
    <w:tmpl w:val="17BC023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4C"/>
    <w:rsid w:val="002B094C"/>
    <w:rsid w:val="005C3005"/>
    <w:rsid w:val="008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A652"/>
  <w15:docId w15:val="{248ABCD8-E21B-4910-97D2-AA32DFF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v5r9/w9tvYKQx9VCk5ZvMfUxA==">AMUW2mUEe7GrBmF8bi7uNakOJUfJvr5THhbJDWRnAlcNv/4eeOsWp61JZ2HAZrZnwnpmFojVVL5fV54NiRvwOfKiruirRL13Eaqm+lih8BZMh32dyASpVzo=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F2E00-CB88-4DDF-B44C-283D36A91F72}"/>
</file>

<file path=customXml/itemProps2.xml><?xml version="1.0" encoding="utf-8"?>
<ds:datastoreItem xmlns:ds="http://schemas.openxmlformats.org/officeDocument/2006/customXml" ds:itemID="{5FF5F0D3-17A0-4B14-81B7-8BBBF87A72DA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216FD878-71AC-4F57-8BC6-83B1E828A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cgiovanoni</cp:lastModifiedBy>
  <cp:revision>2</cp:revision>
  <dcterms:created xsi:type="dcterms:W3CDTF">2022-01-18T13:58:00Z</dcterms:created>
  <dcterms:modified xsi:type="dcterms:W3CDTF">2022-01-18T14:21:00Z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