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08E22" w14:textId="77777777" w:rsidR="004235F3" w:rsidRPr="00952F7F" w:rsidRDefault="004235F3" w:rsidP="00197170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VE"/>
        </w:rPr>
      </w:pPr>
      <w:r w:rsidRPr="00952F7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VE"/>
        </w:rPr>
        <w:t>Intervención de Juan Luis Ibarra, Magistrado del Tribunal Supremo de Justicia</w:t>
      </w:r>
    </w:p>
    <w:p w14:paraId="164F504B" w14:textId="77777777" w:rsidR="004235F3" w:rsidRDefault="004235F3" w:rsidP="0019717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VE"/>
        </w:rPr>
      </w:pPr>
    </w:p>
    <w:p w14:paraId="7FC5682B" w14:textId="3ED1EBC9" w:rsidR="00197170" w:rsidRDefault="00197170" w:rsidP="0019717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VE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VE"/>
        </w:rPr>
        <w:t>Gracias</w:t>
      </w:r>
      <w:r w:rsidR="00A173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VE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VE"/>
        </w:rPr>
        <w:t xml:space="preserve"> Señora Vicepresidenta</w:t>
      </w:r>
    </w:p>
    <w:p w14:paraId="23E2A437" w14:textId="77777777" w:rsidR="00197170" w:rsidRDefault="00197170" w:rsidP="0019717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VE"/>
        </w:rPr>
      </w:pPr>
    </w:p>
    <w:p w14:paraId="7D56D355" w14:textId="71A5C6B8" w:rsidR="00112C5D" w:rsidRDefault="00112C5D" w:rsidP="0019717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VE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VE"/>
        </w:rPr>
        <w:t xml:space="preserve">En representación del poder judicial venezolano, me permito exponer ante ustedes en los </w:t>
      </w:r>
      <w:r w:rsidR="006D150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VE"/>
        </w:rPr>
        <w:t>siguientes términos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VE"/>
        </w:rPr>
        <w:t>:</w:t>
      </w:r>
    </w:p>
    <w:p w14:paraId="783FFAD8" w14:textId="77777777" w:rsidR="006D150E" w:rsidRDefault="006D150E" w:rsidP="0019717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VE"/>
        </w:rPr>
      </w:pPr>
    </w:p>
    <w:p w14:paraId="1299A619" w14:textId="08A679E5" w:rsidR="00745C34" w:rsidRDefault="00745C34" w:rsidP="0019717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VE"/>
        </w:rPr>
      </w:pPr>
      <w:r w:rsidRPr="00745C3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VE"/>
        </w:rPr>
        <w:t>La igualdad y la no discriminación son principios fundamentales de los derechos humanos, y el Poder Judicial venezolano ha sido garantista y proteccionista del disfrute pleno de los derechos de las y los ciudadanos excluidos y vulnerados históricamente.</w:t>
      </w:r>
    </w:p>
    <w:p w14:paraId="759F0C3F" w14:textId="77777777" w:rsidR="00197170" w:rsidRDefault="00197170" w:rsidP="0019717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VE"/>
        </w:rPr>
      </w:pPr>
    </w:p>
    <w:p w14:paraId="103D0A22" w14:textId="74759439" w:rsidR="008E558C" w:rsidRDefault="008E558C" w:rsidP="0019717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VE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VE"/>
        </w:rPr>
        <w:t xml:space="preserve">Constitucionalmente </w:t>
      </w:r>
      <w:r w:rsidR="001971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VE"/>
        </w:rPr>
        <w:t>el poder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VE"/>
        </w:rPr>
        <w:t xml:space="preserve"> Judicial goza de Independencia, autonomía funcional, financiera y administrativa, siendo el TSJ el máximo órgano rector del Poder Judicial desarrollando</w:t>
      </w:r>
      <w:r w:rsidR="00022AD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VE"/>
        </w:rPr>
        <w:t xml:space="preserve"> su actividad jurisdiccional a través de siete salas, sala plena, Constitucional, Penal, Civil, Social, Político Administrativa y Electoral</w:t>
      </w:r>
      <w:r w:rsidR="0034314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VE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VE"/>
        </w:rPr>
        <w:t xml:space="preserve"> </w:t>
      </w:r>
    </w:p>
    <w:p w14:paraId="4FB35E29" w14:textId="77777777" w:rsidR="008E558C" w:rsidRPr="00745C34" w:rsidRDefault="008E558C" w:rsidP="001971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</w:p>
    <w:p w14:paraId="466F71A7" w14:textId="1CDC8DC5" w:rsidR="00745C34" w:rsidRPr="00745C34" w:rsidRDefault="00976B07" w:rsidP="0019717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VE"/>
        </w:rPr>
        <w:t>E</w:t>
      </w:r>
      <w:r w:rsidR="00745C34" w:rsidRPr="00745C34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l </w:t>
      </w:r>
      <w:r w:rsidR="008E558C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Poder Judicial</w:t>
      </w:r>
      <w:r w:rsidR="00745C34" w:rsidRPr="00745C34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 </w:t>
      </w:r>
      <w:r w:rsidR="00112C5D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de la RBV, </w:t>
      </w:r>
      <w:r w:rsidR="00745C34" w:rsidRPr="00745C34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ha redoblado los esfuerzos para la prevención de todas las formas de discriminación y la igualdad de jure y de facto entre hombres y mujeres, y para ello ha instalado Tribunales </w:t>
      </w:r>
      <w:r w:rsidR="00112C5D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en funciones </w:t>
      </w:r>
      <w:r w:rsidR="00745C34" w:rsidRPr="00745C34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de Control, Juicio y Cortes de </w:t>
      </w:r>
      <w:r w:rsidR="00112C5D" w:rsidRPr="00745C34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Apelacion</w:t>
      </w:r>
      <w:r w:rsidR="00112C5D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es</w:t>
      </w:r>
      <w:r w:rsidR="00745C34" w:rsidRPr="00745C34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 en materia de violencia de género contra la mujer. El acceso a la justicia especializada  en  género  abarca  el  100%  del  territorio nacional,  mediante  Circuitos  Judiciales especializados en un 75% y la asunción de la competencia excepcional en materia de delitos de violencia contra la mujer de los Tribunales Municipales Penales en un 25%. Además, existen 120 oficinas fiscales y fiscalías especializadas en casos de violencia de género contra mujeres, niñas</w:t>
      </w:r>
      <w:r w:rsidR="00112C5D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 </w:t>
      </w:r>
      <w:r w:rsidR="00E3416F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y </w:t>
      </w:r>
      <w:r w:rsidR="00E3416F" w:rsidRPr="00745C34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adolescentes</w:t>
      </w:r>
      <w:r w:rsidR="00745C34" w:rsidRPr="00745C34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.</w:t>
      </w:r>
    </w:p>
    <w:p w14:paraId="3C67FC58" w14:textId="77777777" w:rsidR="00745C34" w:rsidRPr="00745C34" w:rsidRDefault="00745C34" w:rsidP="0019717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</w:p>
    <w:p w14:paraId="7C488C4A" w14:textId="0F1C0C75" w:rsidR="00745C34" w:rsidRDefault="00745C34" w:rsidP="0019717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745C34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Para muestra de igualdad, de los 32 magistrados que integran el Máximo Tribunal del país, 15 son mujeres, ocupan</w:t>
      </w:r>
      <w:r w:rsidR="00E3416F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do 3 de ellas</w:t>
      </w:r>
      <w:r w:rsidRPr="00745C34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 cargos en la junta directiva.</w:t>
      </w:r>
    </w:p>
    <w:p w14:paraId="4216A625" w14:textId="79F0A86A" w:rsidR="00EC4326" w:rsidRDefault="00EC4326" w:rsidP="0019717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</w:p>
    <w:p w14:paraId="7D037E55" w14:textId="6D3B1FD1" w:rsidR="00EC4326" w:rsidRDefault="00EC4326" w:rsidP="0019717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745C34">
        <w:rPr>
          <w:rFonts w:ascii="Arial" w:eastAsia="Times New Roman" w:hAnsi="Arial" w:cs="Arial"/>
          <w:color w:val="000000"/>
          <w:sz w:val="24"/>
          <w:szCs w:val="24"/>
          <w:lang w:eastAsia="es-VE"/>
        </w:rPr>
        <w:lastRenderedPageBreak/>
        <w:t xml:space="preserve">En cuanto a la familia homoparental, en 2016 </w:t>
      </w:r>
      <w:r w:rsidR="008E607F" w:rsidRPr="00745C34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la </w:t>
      </w:r>
      <w:r w:rsidR="00064CB3" w:rsidRPr="00745C34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Sala </w:t>
      </w:r>
      <w:r w:rsidR="0016786E" w:rsidRPr="00745C34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Constitucional del</w:t>
      </w:r>
      <w:r w:rsidRPr="00745C34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 TSJ </w:t>
      </w:r>
      <w:r w:rsidR="0016786E" w:rsidRPr="00745C34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declaró su</w:t>
      </w:r>
      <w:r w:rsidRPr="00745C34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 reconocimiento estableciendo que la jefatura de las familias puede ejercerlas las familias homoparentales, y los niños nacidos en estas familias tienen la protección del Estado sin ninguna discriminación.</w:t>
      </w:r>
    </w:p>
    <w:p w14:paraId="10407C2E" w14:textId="77777777" w:rsidR="000D0BC9" w:rsidRDefault="000D0BC9" w:rsidP="0019717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</w:p>
    <w:p w14:paraId="13A704E3" w14:textId="3749B25F" w:rsidR="008E607F" w:rsidRPr="00745C34" w:rsidRDefault="008E607F" w:rsidP="0019717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Así </w:t>
      </w:r>
      <w:r w:rsidR="00064CB3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mismo, la</w:t>
      </w:r>
      <w:r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 máxima instancia constitucional del </w:t>
      </w:r>
      <w:r w:rsidR="0016786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país</w:t>
      </w:r>
      <w:r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 ha dictado decisiones de gran importancia y trascendencia en </w:t>
      </w:r>
      <w:r w:rsidR="003D3BA8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cuanto</w:t>
      </w:r>
      <w:r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 a la </w:t>
      </w:r>
      <w:r w:rsidR="003D3BA8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obligación </w:t>
      </w:r>
      <w:r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de </w:t>
      </w:r>
      <w:r w:rsidR="0083735C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los jueces</w:t>
      </w:r>
      <w:r w:rsidR="003D3BA8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 </w:t>
      </w:r>
      <w:r w:rsidR="0083735C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y juezas </w:t>
      </w:r>
      <w:r w:rsidR="003D3BA8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a dar cumplimiento a los parámetros constitucionales y legale</w:t>
      </w:r>
      <w:r w:rsidR="00064CB3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s en cuanto al respeto </w:t>
      </w:r>
      <w:r w:rsidR="0016786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del derecho a una vivienda digna </w:t>
      </w:r>
      <w:r w:rsidR="00CB50B1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de todos los ciudad</w:t>
      </w:r>
      <w:r w:rsidR="000D0BC9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anos y ciudadanas </w:t>
      </w:r>
      <w:r w:rsidR="0016786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y el cumplimiento estricto de los procedimientos previstos en la ley </w:t>
      </w:r>
      <w:r w:rsidR="0083735C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que rige la</w:t>
      </w:r>
      <w:r w:rsidR="0016786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 materia de desalojo</w:t>
      </w:r>
      <w:r w:rsidR="00022AD1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.</w:t>
      </w:r>
    </w:p>
    <w:p w14:paraId="0A126E7B" w14:textId="77777777" w:rsidR="00EC4326" w:rsidRPr="00745C34" w:rsidRDefault="00EC4326" w:rsidP="0019717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</w:p>
    <w:p w14:paraId="002511DF" w14:textId="5DC00404" w:rsidR="00EC4326" w:rsidRPr="00745C34" w:rsidRDefault="00EC4326" w:rsidP="0019717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745C34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Para proteger los derechos fundamentales de las y los adolescentes en conflicto penal, el TSJ creó en 2017 la Coordinación Nacional del Sistema Penal de Responsabilidad de</w:t>
      </w:r>
      <w:r w:rsidR="0083735C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 </w:t>
      </w:r>
      <w:r w:rsidRPr="00745C34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l</w:t>
      </w:r>
      <w:r w:rsidR="0083735C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os y las</w:t>
      </w:r>
      <w:r w:rsidRPr="00745C34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 Adolescente</w:t>
      </w:r>
      <w:r w:rsidR="0083735C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s</w:t>
      </w:r>
      <w:r w:rsidRPr="00745C34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 para desarrollar y diseñar políticas judiciales destinadas a optimizar el sistema de administración de justicia sobre la materia.</w:t>
      </w:r>
    </w:p>
    <w:p w14:paraId="292B396E" w14:textId="77777777" w:rsidR="00EC4326" w:rsidRPr="00745C34" w:rsidRDefault="00EC4326" w:rsidP="0019717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</w:p>
    <w:p w14:paraId="063AE84D" w14:textId="77777777" w:rsidR="00745C34" w:rsidRPr="00745C34" w:rsidRDefault="00745C34" w:rsidP="0019717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</w:p>
    <w:p w14:paraId="1CEE775D" w14:textId="4C7258D1" w:rsidR="00745C34" w:rsidRPr="00745C34" w:rsidRDefault="00E3416F" w:rsidP="0019717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VE"/>
        </w:rPr>
        <w:t>Desde e</w:t>
      </w:r>
      <w:r w:rsidR="00EC4326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ste </w:t>
      </w:r>
      <w:r>
        <w:rPr>
          <w:rFonts w:ascii="Arial" w:eastAsia="Times New Roman" w:hAnsi="Arial" w:cs="Arial"/>
          <w:color w:val="000000"/>
          <w:sz w:val="24"/>
          <w:szCs w:val="24"/>
          <w:lang w:eastAsia="es-VE"/>
        </w:rPr>
        <w:t>año</w:t>
      </w:r>
      <w:r w:rsidR="00745C34" w:rsidRPr="00745C34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 2017, el TSJ promueve el uso del lenguaje inclusivo y no sexista en todos los documentos y resoluciones emanadas </w:t>
      </w:r>
      <w:r>
        <w:rPr>
          <w:rFonts w:ascii="Arial" w:eastAsia="Times New Roman" w:hAnsi="Arial" w:cs="Arial"/>
          <w:color w:val="000000"/>
          <w:sz w:val="24"/>
          <w:szCs w:val="24"/>
          <w:lang w:eastAsia="es-VE"/>
        </w:rPr>
        <w:t>de su seno</w:t>
      </w:r>
      <w:r w:rsidR="00745C34" w:rsidRPr="00745C34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 y demás tribunales en las diferentes materias y competencias. Estas medidas fueron reforzadas por la Asamblea Nacional en el año 2021, con la aprobación de la Ley para la Promoción y Uso del Lenguaje con Enfoque de Género que establece la obligación de todos los Poderes Públicos de emplear en sus actuaciones el lenguaje con enfoque de género, inclusivo y no sexista.</w:t>
      </w:r>
    </w:p>
    <w:p w14:paraId="0365F6C4" w14:textId="77777777" w:rsidR="00745C34" w:rsidRPr="00745C34" w:rsidRDefault="00745C34" w:rsidP="0019717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</w:p>
    <w:p w14:paraId="34D5C8BA" w14:textId="77777777" w:rsidR="00745C34" w:rsidRPr="00745C34" w:rsidRDefault="00745C34" w:rsidP="0019717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</w:p>
    <w:p w14:paraId="08825D38" w14:textId="35B7615E" w:rsidR="00745C34" w:rsidRPr="00745C34" w:rsidRDefault="00745C34" w:rsidP="0019717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745C34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En noviembre de 2018 la Sala Plena del TSJ, crea el Expediente Judicial Electrónico aplicable en los procesos por violencia contra la mujer</w:t>
      </w:r>
      <w:r w:rsidR="00022AD1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 y Responsabilidad Penal de los</w:t>
      </w:r>
      <w:r w:rsidR="00197170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 y las</w:t>
      </w:r>
      <w:r w:rsidR="00022AD1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 adolescentes</w:t>
      </w:r>
      <w:r w:rsidRPr="00745C34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. La implementación de esta Resolución se ha priorizado </w:t>
      </w:r>
      <w:r w:rsidRPr="00745C34">
        <w:rPr>
          <w:rFonts w:ascii="Arial" w:eastAsia="Times New Roman" w:hAnsi="Arial" w:cs="Arial"/>
          <w:color w:val="000000"/>
          <w:sz w:val="24"/>
          <w:szCs w:val="24"/>
          <w:lang w:eastAsia="es-VE"/>
        </w:rPr>
        <w:lastRenderedPageBreak/>
        <w:t>desde la pandemia por COVID-19, como una medida especial para garantizar el acceso a la justicia</w:t>
      </w:r>
      <w:r w:rsidR="00022AD1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, que a su vez </w:t>
      </w:r>
      <w:r w:rsidR="0083735C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ha</w:t>
      </w:r>
      <w:r w:rsidR="00022AD1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 permitid</w:t>
      </w:r>
      <w:r w:rsidR="00197170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o</w:t>
      </w:r>
      <w:r w:rsidR="00022AD1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 ir implementando </w:t>
      </w:r>
      <w:r w:rsidR="00197170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elementos telemáticos y de justicia digital</w:t>
      </w:r>
      <w:r w:rsidR="00022AD1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 en todos</w:t>
      </w:r>
      <w:r w:rsidR="00197170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 y cada uno </w:t>
      </w:r>
      <w:r w:rsidR="00053573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de los</w:t>
      </w:r>
      <w:r w:rsidR="00022AD1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 procesos judiciales en el país, a los fines de garantiza</w:t>
      </w:r>
      <w:r w:rsidR="00197170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r la tutela judicial efectiva y el debido proceso constitucional.</w:t>
      </w:r>
      <w:r w:rsidR="00022AD1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 </w:t>
      </w:r>
    </w:p>
    <w:p w14:paraId="0C3ED210" w14:textId="77777777" w:rsidR="00745C34" w:rsidRPr="00745C34" w:rsidRDefault="00745C34" w:rsidP="0019717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</w:p>
    <w:p w14:paraId="5DFD2665" w14:textId="5DC4531B" w:rsidR="00053573" w:rsidRDefault="00745C34" w:rsidP="0019717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745C34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El TSJ también ha em</w:t>
      </w:r>
      <w:r w:rsidR="0083735C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itido</w:t>
      </w:r>
      <w:r w:rsidRPr="00745C34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 diversas sentencias para reconocer los sistemas tradicionales de justicia de las comunidades y pueblos indígenas, de conformidad con la normativa internacional y en reconocimiento a la deuda histórica con los pueblos originarios. </w:t>
      </w:r>
    </w:p>
    <w:p w14:paraId="4FB50B26" w14:textId="77777777" w:rsidR="00343143" w:rsidRDefault="00343143" w:rsidP="0019717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</w:p>
    <w:p w14:paraId="62C3BE53" w14:textId="53B6EC19" w:rsidR="00745C34" w:rsidRPr="00745C34" w:rsidRDefault="00745C34" w:rsidP="0019717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745C34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La legislación procesal penal consagra la garantía de nombramiento de intérpretes a los fines de prestar testimonio, declaraciones o cualquier acto procesal o administrativo, garantizando con ello el uso de sus idiomas originarios. En el caso de indígenas imputados en jurisdicción ordinaria se garantiza el derecho a la asistencia gratuita de un traductor o intérprete si no comprende o habla el idioma castellano, siendo de destacar que la Inspectoría General de Tribunales cuenta con cinco inspectores indígenas, asignados estratégicamente en las zonas de mayor población indígena.</w:t>
      </w:r>
    </w:p>
    <w:p w14:paraId="0A695AC9" w14:textId="77777777" w:rsidR="00745C34" w:rsidRPr="00745C34" w:rsidRDefault="00745C34" w:rsidP="0019717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</w:p>
    <w:p w14:paraId="06CC8253" w14:textId="1C8E0EC1" w:rsidR="00745C34" w:rsidRDefault="00745C34" w:rsidP="0019717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745C34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Vale mencionar la figura del Tribunal Móvil que permite la atención jurídica gratuita de la población más vulnerable que no puede trasladarse a los recintos judiciales, facilitando de esta manera el acceso a la justicia.</w:t>
      </w:r>
    </w:p>
    <w:p w14:paraId="429148AC" w14:textId="77777777" w:rsidR="00053573" w:rsidRDefault="00053573" w:rsidP="0019717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</w:p>
    <w:p w14:paraId="10D8BBA9" w14:textId="6F79908F" w:rsidR="003466BB" w:rsidRPr="00745C34" w:rsidRDefault="003466BB" w:rsidP="0019717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En materia académica, durante los años 2016 a 2021 el poder judicial a través de la Escuela Nacional de la magistratura ha logrado la formación de 12.494 jueces y </w:t>
      </w:r>
      <w:r w:rsidR="00197170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juezas,</w:t>
      </w:r>
      <w:r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 así como servidores y servidoras judiciales</w:t>
      </w:r>
      <w:r w:rsidR="00343143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.</w:t>
      </w:r>
    </w:p>
    <w:p w14:paraId="337AD449" w14:textId="77777777" w:rsidR="005810D6" w:rsidRDefault="00F55B3C" w:rsidP="0019717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 </w:t>
      </w:r>
    </w:p>
    <w:p w14:paraId="6EB0718E" w14:textId="7A168050" w:rsidR="00745C34" w:rsidRDefault="00F55B3C" w:rsidP="0019717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Así mismo, </w:t>
      </w:r>
      <w:r w:rsidR="00053573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la jurisdicción penal,</w:t>
      </w:r>
      <w:r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 cuenta con un bloque de leyes, que garantizan el respeto a la garantía de los Derechos Humanos por parte del estado venezolano , los cuales entre otras</w:t>
      </w:r>
      <w:r w:rsidR="00800F2F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 </w:t>
      </w:r>
      <w:r w:rsidR="00800F2F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establecen</w:t>
      </w:r>
      <w:r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 el deber del juez penal </w:t>
      </w:r>
      <w:r w:rsidR="00800F2F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en los casos de las </w:t>
      </w:r>
      <w:r w:rsidR="00800F2F">
        <w:rPr>
          <w:rFonts w:ascii="Arial" w:eastAsia="Times New Roman" w:hAnsi="Arial" w:cs="Arial"/>
          <w:color w:val="000000"/>
          <w:sz w:val="24"/>
          <w:szCs w:val="24"/>
          <w:lang w:eastAsia="es-VE"/>
        </w:rPr>
        <w:lastRenderedPageBreak/>
        <w:t>detenciones arbitrarias</w:t>
      </w:r>
      <w:r w:rsidR="00053573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,</w:t>
      </w:r>
      <w:r w:rsidR="00800F2F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de </w:t>
      </w:r>
      <w:r w:rsidR="00800F2F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ordenar la libertad sin restricciones y la remisión inmediata al </w:t>
      </w:r>
      <w:r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ministerio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VE"/>
        </w:rPr>
        <w:t>publico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 </w:t>
      </w:r>
      <w:r w:rsidR="00800F2F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a los fines del inicio de la correspondiente investigación por la detención anulada, la prohibición del juzgamiento de civiles en la jurisdicción militar, </w:t>
      </w:r>
      <w:r w:rsidR="00A17336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así como </w:t>
      </w:r>
      <w:r w:rsidR="00800F2F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la próxima designación de los jueces especializados en materia de habeas corpus</w:t>
      </w:r>
      <w:r w:rsidR="005810D6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.</w:t>
      </w:r>
    </w:p>
    <w:p w14:paraId="69079053" w14:textId="77777777" w:rsidR="005810D6" w:rsidRPr="00745C34" w:rsidRDefault="005810D6" w:rsidP="0019717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</w:p>
    <w:p w14:paraId="020158C3" w14:textId="73C59525" w:rsidR="00745C34" w:rsidRDefault="00745C34" w:rsidP="0019717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745C34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Todo esto demuestra que en los 2.059 tribunales  existentes en Venezuela, incluyendo 492 tribunales municipales en materia civil y penal; 1.323 tribunales de primera instancia con competencias en diversas materias; 185 tribunales con competencias superiores y 59 cortes de apelación, no solo se imparte justicia con independencia e imparcialidad sino también se administra justicia con equidad y sin discriminación a los grupos que históricamente fueron desprovistos de sus derechos durante décadas</w:t>
      </w:r>
      <w:r w:rsidR="005810D6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, reafirmando con esto la garantía del acceso a la justicia como elemento fundamental del cumplimiento de la tutela judicial efectiva y el debido proceso</w:t>
      </w:r>
      <w:r w:rsidR="00197170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 constitucional.</w:t>
      </w:r>
    </w:p>
    <w:p w14:paraId="2A3ED633" w14:textId="77777777" w:rsidR="00E84DA5" w:rsidRPr="00745C34" w:rsidRDefault="00E84DA5" w:rsidP="0019717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</w:p>
    <w:p w14:paraId="08B6F434" w14:textId="77777777" w:rsidR="00745C34" w:rsidRPr="00745C34" w:rsidRDefault="00745C34" w:rsidP="0019717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</w:p>
    <w:p w14:paraId="73BC6548" w14:textId="77777777" w:rsidR="00F3268C" w:rsidRDefault="00952F7F" w:rsidP="00197170">
      <w:pPr>
        <w:spacing w:line="360" w:lineRule="auto"/>
        <w:jc w:val="both"/>
      </w:pPr>
    </w:p>
    <w:sectPr w:rsidR="00F32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34"/>
    <w:rsid w:val="000026EF"/>
    <w:rsid w:val="00022AD1"/>
    <w:rsid w:val="00053573"/>
    <w:rsid w:val="000571EA"/>
    <w:rsid w:val="00064CB3"/>
    <w:rsid w:val="000D0BC9"/>
    <w:rsid w:val="00112C5D"/>
    <w:rsid w:val="0016786E"/>
    <w:rsid w:val="00197170"/>
    <w:rsid w:val="00343143"/>
    <w:rsid w:val="003466BB"/>
    <w:rsid w:val="003D3BA8"/>
    <w:rsid w:val="004235F3"/>
    <w:rsid w:val="00514231"/>
    <w:rsid w:val="00555CD0"/>
    <w:rsid w:val="005810D6"/>
    <w:rsid w:val="00605DF3"/>
    <w:rsid w:val="006D150E"/>
    <w:rsid w:val="00745C34"/>
    <w:rsid w:val="007F284D"/>
    <w:rsid w:val="00800F2F"/>
    <w:rsid w:val="0083735C"/>
    <w:rsid w:val="00845161"/>
    <w:rsid w:val="008E558C"/>
    <w:rsid w:val="008E607F"/>
    <w:rsid w:val="00952F7F"/>
    <w:rsid w:val="00976B07"/>
    <w:rsid w:val="00A17336"/>
    <w:rsid w:val="00A27D5C"/>
    <w:rsid w:val="00A447A7"/>
    <w:rsid w:val="00C15110"/>
    <w:rsid w:val="00C96097"/>
    <w:rsid w:val="00CB50B1"/>
    <w:rsid w:val="00E3416F"/>
    <w:rsid w:val="00E84DA5"/>
    <w:rsid w:val="00EC4326"/>
    <w:rsid w:val="00F5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0811E"/>
  <w15:docId w15:val="{E91CA481-BF3B-4A85-A9CD-478F02EC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125411-46F3-486D-983E-755B13669D8B}"/>
</file>

<file path=customXml/itemProps2.xml><?xml version="1.0" encoding="utf-8"?>
<ds:datastoreItem xmlns:ds="http://schemas.openxmlformats.org/officeDocument/2006/customXml" ds:itemID="{8E3C0F7B-4711-4E1D-A733-95D36F07B626}"/>
</file>

<file path=customXml/itemProps3.xml><?xml version="1.0" encoding="utf-8"?>
<ds:datastoreItem xmlns:ds="http://schemas.openxmlformats.org/officeDocument/2006/customXml" ds:itemID="{7815972B-58A7-4D28-A383-E7885B0E28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983</Words>
  <Characters>5407</Characters>
  <Application>Microsoft Office Word</Application>
  <DocSecurity>4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Felix Peña</cp:lastModifiedBy>
  <cp:revision>2</cp:revision>
  <dcterms:created xsi:type="dcterms:W3CDTF">2022-01-25T11:08:00Z</dcterms:created>
  <dcterms:modified xsi:type="dcterms:W3CDTF">2022-01-25T11:08:00Z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