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6173"/>
        <w:gridCol w:w="1502"/>
      </w:tblGrid>
      <w:tr w:rsidR="00650B45" w:rsidRPr="005E7ADD" w14:paraId="6B44B79A" w14:textId="77777777">
        <w:tblPrEx>
          <w:tblCellMar>
            <w:top w:w="0" w:type="dxa"/>
            <w:bottom w:w="0" w:type="dxa"/>
          </w:tblCellMar>
        </w:tblPrEx>
        <w:trPr>
          <w:trHeight w:hRule="exact" w:val="1054"/>
        </w:trPr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407820" w14:textId="77777777" w:rsidR="00650B45" w:rsidRPr="005E7ADD" w:rsidRDefault="0098161B" w:rsidP="00DC0E74">
            <w:pPr>
              <w:ind w:left="384"/>
              <w:jc w:val="right"/>
              <w:textAlignment w:val="baseline"/>
              <w:rPr>
                <w:sz w:val="28"/>
                <w:szCs w:val="28"/>
              </w:rPr>
            </w:pPr>
            <w:r w:rsidRPr="005E7ADD">
              <w:rPr>
                <w:noProof/>
                <w:sz w:val="28"/>
                <w:szCs w:val="28"/>
              </w:rPr>
              <w:drawing>
                <wp:inline distT="0" distB="0" distL="0" distR="0" wp14:anchorId="11F77A62" wp14:editId="5E1EBAC5">
                  <wp:extent cx="508635" cy="52705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04D6149" w14:textId="77777777" w:rsidR="00650B45" w:rsidRPr="005E7ADD" w:rsidRDefault="0098161B" w:rsidP="00DC0E74">
            <w:pPr>
              <w:ind w:left="288"/>
              <w:textAlignment w:val="baseline"/>
              <w:rPr>
                <w:rFonts w:ascii="Arial" w:eastAsia="Arial" w:hAnsi="Arial"/>
                <w:color w:val="000000"/>
                <w:sz w:val="28"/>
                <w:szCs w:val="28"/>
                <w:lang w:val="es-ES"/>
              </w:rPr>
            </w:pPr>
            <w:r w:rsidRPr="005E7ADD">
              <w:rPr>
                <w:rFonts w:ascii="Arial" w:eastAsia="Arial" w:hAnsi="Arial"/>
                <w:color w:val="000000"/>
                <w:sz w:val="28"/>
                <w:szCs w:val="28"/>
                <w:lang w:val="es-ES"/>
              </w:rPr>
              <w:t>República Bolivariana</w:t>
            </w:r>
            <w:r w:rsidRPr="005E7ADD">
              <w:rPr>
                <w:rFonts w:ascii="Arial" w:eastAsia="Arial" w:hAnsi="Arial"/>
                <w:color w:val="000000"/>
                <w:sz w:val="28"/>
                <w:szCs w:val="28"/>
              </w:rPr>
              <w:t xml:space="preserve"> de Venezuela</w:t>
            </w:r>
            <w:r w:rsidRPr="005E7ADD">
              <w:rPr>
                <w:rFonts w:ascii="Arial" w:eastAsia="Arial" w:hAnsi="Arial"/>
                <w:color w:val="000000"/>
                <w:sz w:val="28"/>
                <w:szCs w:val="28"/>
                <w:lang w:val="es-ES"/>
              </w:rPr>
              <w:t xml:space="preserve"> </w:t>
            </w:r>
          </w:p>
          <w:p w14:paraId="3399D229" w14:textId="77777777" w:rsidR="00650B45" w:rsidRPr="005E7ADD" w:rsidRDefault="0098161B" w:rsidP="00DC0E74">
            <w:pPr>
              <w:ind w:left="288"/>
              <w:textAlignment w:val="baseline"/>
              <w:rPr>
                <w:rFonts w:ascii="Arial" w:eastAsia="Arial" w:hAnsi="Arial"/>
                <w:color w:val="000000"/>
                <w:sz w:val="28"/>
                <w:szCs w:val="28"/>
                <w:lang w:val="es-ES"/>
              </w:rPr>
            </w:pPr>
            <w:r w:rsidRPr="005E7ADD">
              <w:rPr>
                <w:rFonts w:ascii="Arial" w:eastAsia="Arial" w:hAnsi="Arial"/>
                <w:color w:val="000000"/>
                <w:sz w:val="28"/>
                <w:szCs w:val="28"/>
                <w:lang w:val="es-ES"/>
              </w:rPr>
              <w:t>Ministerio Público</w:t>
            </w:r>
          </w:p>
          <w:p w14:paraId="2F2041EB" w14:textId="2E1CA1BF" w:rsidR="00650B45" w:rsidRPr="005E7ADD" w:rsidRDefault="0098161B" w:rsidP="00DC0E74">
            <w:pPr>
              <w:ind w:left="288"/>
              <w:textAlignment w:val="baseline"/>
              <w:rPr>
                <w:rFonts w:ascii="Arial" w:eastAsia="Arial" w:hAnsi="Arial"/>
                <w:color w:val="000000"/>
                <w:sz w:val="28"/>
                <w:szCs w:val="28"/>
                <w:lang w:val="es-ES"/>
              </w:rPr>
            </w:pPr>
            <w:r w:rsidRPr="005E7ADD">
              <w:rPr>
                <w:rFonts w:ascii="Arial" w:eastAsia="Arial" w:hAnsi="Arial"/>
                <w:color w:val="000000"/>
                <w:sz w:val="28"/>
                <w:szCs w:val="28"/>
                <w:lang w:val="es-ES"/>
              </w:rPr>
              <w:t>Dirección General</w:t>
            </w:r>
            <w:r w:rsidRPr="005E7ADD">
              <w:rPr>
                <w:rFonts w:ascii="Arial" w:eastAsia="Arial" w:hAnsi="Arial"/>
                <w:color w:val="000000"/>
                <w:sz w:val="28"/>
                <w:szCs w:val="28"/>
              </w:rPr>
              <w:t xml:space="preserve"> de</w:t>
            </w:r>
            <w:r w:rsidRPr="005E7ADD">
              <w:rPr>
                <w:rFonts w:ascii="Arial" w:eastAsia="Arial" w:hAnsi="Arial"/>
                <w:color w:val="000000"/>
                <w:sz w:val="28"/>
                <w:szCs w:val="28"/>
                <w:lang w:val="es-ES"/>
              </w:rPr>
              <w:t xml:space="preserve"> Protección</w:t>
            </w:r>
            <w:r w:rsidRPr="005E7ADD">
              <w:rPr>
                <w:rFonts w:ascii="Arial" w:eastAsia="Arial" w:hAnsi="Arial"/>
                <w:color w:val="000000"/>
                <w:sz w:val="28"/>
                <w:szCs w:val="28"/>
              </w:rPr>
              <w:t xml:space="preserve"> de</w:t>
            </w:r>
            <w:r w:rsidRPr="005E7ADD">
              <w:rPr>
                <w:rFonts w:ascii="Arial" w:eastAsia="Arial" w:hAnsi="Arial"/>
                <w:color w:val="000000"/>
                <w:sz w:val="28"/>
                <w:szCs w:val="28"/>
                <w:lang w:val="es-ES"/>
              </w:rPr>
              <w:t xml:space="preserve"> </w:t>
            </w:r>
            <w:r w:rsidR="0089305F" w:rsidRPr="005E7ADD">
              <w:rPr>
                <w:rFonts w:ascii="Arial" w:eastAsia="Arial" w:hAnsi="Arial"/>
                <w:color w:val="000000"/>
                <w:sz w:val="28"/>
                <w:szCs w:val="28"/>
                <w:lang w:val="es-ES"/>
              </w:rPr>
              <w:t>Derechos</w:t>
            </w:r>
            <w:r w:rsidRPr="005E7ADD">
              <w:rPr>
                <w:rFonts w:ascii="Arial" w:eastAsia="Arial" w:hAnsi="Arial"/>
                <w:color w:val="000000"/>
                <w:sz w:val="28"/>
                <w:szCs w:val="28"/>
                <w:lang w:val="es-ES"/>
              </w:rPr>
              <w:t xml:space="preserve"> Humanos</w:t>
            </w:r>
          </w:p>
        </w:tc>
        <w:tc>
          <w:tcPr>
            <w:tcW w:w="1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8DA021" w14:textId="77777777" w:rsidR="00650B45" w:rsidRPr="005E7ADD" w:rsidRDefault="0098161B" w:rsidP="00DC0E74">
            <w:pPr>
              <w:ind w:right="369"/>
              <w:textAlignment w:val="baseline"/>
              <w:rPr>
                <w:sz w:val="28"/>
                <w:szCs w:val="28"/>
              </w:rPr>
            </w:pPr>
            <w:r w:rsidRPr="005E7ADD">
              <w:rPr>
                <w:noProof/>
                <w:sz w:val="28"/>
                <w:szCs w:val="28"/>
              </w:rPr>
              <w:drawing>
                <wp:inline distT="0" distB="0" distL="0" distR="0" wp14:anchorId="5BF0081B" wp14:editId="2273ED45">
                  <wp:extent cx="719455" cy="655320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446FD4" w14:textId="77777777" w:rsidR="00650B45" w:rsidRPr="005E7ADD" w:rsidRDefault="00650B45" w:rsidP="00DC0E74">
      <w:pPr>
        <w:rPr>
          <w:sz w:val="28"/>
          <w:szCs w:val="28"/>
        </w:rPr>
      </w:pPr>
    </w:p>
    <w:p w14:paraId="526D1E4D" w14:textId="77777777" w:rsidR="00874223" w:rsidRPr="005E7ADD" w:rsidRDefault="0089305F" w:rsidP="00DC0E74">
      <w:pPr>
        <w:ind w:left="144" w:right="72"/>
        <w:jc w:val="both"/>
        <w:textAlignment w:val="baseline"/>
        <w:rPr>
          <w:rFonts w:ascii="Arial" w:eastAsia="Arial" w:hAnsi="Arial"/>
          <w:b/>
          <w:color w:val="000000"/>
          <w:sz w:val="28"/>
          <w:szCs w:val="28"/>
          <w:lang w:val="es-MX"/>
        </w:rPr>
      </w:pPr>
      <w:r w:rsidRPr="005E7ADD">
        <w:rPr>
          <w:rFonts w:ascii="Arial" w:eastAsia="Arial" w:hAnsi="Arial"/>
          <w:b/>
          <w:color w:val="000000"/>
          <w:sz w:val="28"/>
          <w:szCs w:val="28"/>
          <w:lang w:val="es-MX"/>
        </w:rPr>
        <w:t xml:space="preserve">INTERVENCIÓN </w:t>
      </w:r>
      <w:r w:rsidR="00874223" w:rsidRPr="005E7ADD">
        <w:rPr>
          <w:rFonts w:ascii="Arial" w:eastAsia="Arial" w:hAnsi="Arial"/>
          <w:b/>
          <w:color w:val="000000"/>
          <w:sz w:val="28"/>
          <w:szCs w:val="28"/>
          <w:lang w:val="es-MX"/>
        </w:rPr>
        <w:t xml:space="preserve">DE </w:t>
      </w:r>
      <w:r w:rsidRPr="005E7ADD">
        <w:rPr>
          <w:rFonts w:ascii="Arial" w:eastAsia="Arial" w:hAnsi="Arial"/>
          <w:b/>
          <w:color w:val="000000"/>
          <w:sz w:val="28"/>
          <w:szCs w:val="28"/>
          <w:lang w:val="es-MX"/>
        </w:rPr>
        <w:t>KARIN GARCÍA, DIRECTORA GENERAL DE PROTECCIÓN DE DERECHOS HUMANOS DEL MINISTERIO PÚBLICO</w:t>
      </w:r>
    </w:p>
    <w:p w14:paraId="3B55B92F" w14:textId="77777777" w:rsidR="00874223" w:rsidRPr="005E7ADD" w:rsidRDefault="00874223" w:rsidP="00DC0E74">
      <w:pPr>
        <w:ind w:left="144" w:right="72"/>
        <w:jc w:val="both"/>
        <w:textAlignment w:val="baseline"/>
        <w:rPr>
          <w:rFonts w:ascii="Arial" w:eastAsia="Arial" w:hAnsi="Arial"/>
          <w:b/>
          <w:color w:val="000000"/>
          <w:sz w:val="28"/>
          <w:szCs w:val="28"/>
          <w:lang w:val="es-MX"/>
        </w:rPr>
      </w:pPr>
    </w:p>
    <w:p w14:paraId="0C6E19F9" w14:textId="77777777" w:rsidR="00DC0E74" w:rsidRPr="005E7ADD" w:rsidRDefault="0098161B" w:rsidP="00DC0E74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ES"/>
        </w:rPr>
      </w:pP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>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Ministerio Público </w:t>
      </w:r>
      <w:r w:rsidR="00DC0E74" w:rsidRPr="005E7ADD">
        <w:rPr>
          <w:rFonts w:ascii="Arial" w:eastAsia="Arial" w:hAnsi="Arial"/>
          <w:color w:val="000000"/>
          <w:sz w:val="28"/>
          <w:szCs w:val="28"/>
          <w:lang w:val="es-ES"/>
        </w:rPr>
        <w:t>v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>enezolano,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se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encuentra enmarcado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los principios constitucionales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igualdad y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no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discriminación, garantizando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cada uno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los ciudadanos que integran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República,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debido acceso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a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justicia y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celeridad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los procesos penales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cada una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 sus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áreas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competencia.</w:t>
      </w:r>
    </w:p>
    <w:p w14:paraId="1BBBF949" w14:textId="0C0A911F" w:rsidR="00650B45" w:rsidRPr="005E7ADD" w:rsidRDefault="0098161B" w:rsidP="00DC0E74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MX"/>
        </w:rPr>
      </w:pP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</w:t>
      </w:r>
    </w:p>
    <w:p w14:paraId="15572C7B" w14:textId="20F9C5AA" w:rsidR="00650B45" w:rsidRPr="005E7ADD" w:rsidRDefault="0098161B" w:rsidP="0076564A">
      <w:pPr>
        <w:ind w:left="144" w:right="72"/>
        <w:jc w:val="both"/>
        <w:textAlignment w:val="baseline"/>
        <w:rPr>
          <w:rFonts w:ascii="Arial" w:eastAsia="Arial" w:hAnsi="Arial"/>
          <w:color w:val="000000"/>
          <w:spacing w:val="1"/>
          <w:sz w:val="28"/>
          <w:szCs w:val="28"/>
          <w:lang w:val="es-ES"/>
        </w:rPr>
      </w:pP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>En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tal sentido,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a fin de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visibilizar los esfuerzos realizados, resulta necesario destacar que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en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virtud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del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principio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cooperación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los podere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>s,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el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Ministerio Público realizó aportes considerables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en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las reformas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un importante cuerpo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leyes, las cuales tienen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el principal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objetivo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adecuar y fortalecer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estructura jurídica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del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país colocando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a Venezuela en la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vanguardia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en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materia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derechos humanos, ya que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van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dirigidas expresamente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a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garantizar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igualdad entre las partes,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tutela judicial efectiva,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el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debido proceso y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celeridad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 xml:space="preserve"> los actos legales</w:t>
      </w:r>
      <w:r w:rsidRPr="005E7ADD">
        <w:rPr>
          <w:rFonts w:ascii="Arial" w:eastAsia="Arial" w:hAnsi="Arial"/>
          <w:color w:val="000000"/>
          <w:spacing w:val="1"/>
          <w:sz w:val="28"/>
          <w:szCs w:val="28"/>
          <w:lang w:val="es-ES"/>
        </w:rPr>
        <w:t>.</w:t>
      </w:r>
    </w:p>
    <w:p w14:paraId="2920D8C3" w14:textId="77777777" w:rsidR="0076564A" w:rsidRPr="005E7ADD" w:rsidRDefault="0076564A" w:rsidP="0076564A">
      <w:pPr>
        <w:ind w:left="144" w:right="72"/>
        <w:jc w:val="both"/>
        <w:textAlignment w:val="baseline"/>
        <w:rPr>
          <w:rFonts w:ascii="Arial" w:eastAsia="Arial" w:hAnsi="Arial"/>
          <w:color w:val="000000"/>
          <w:spacing w:val="1"/>
          <w:sz w:val="28"/>
          <w:szCs w:val="28"/>
          <w:lang w:val="es-ES"/>
        </w:rPr>
      </w:pPr>
    </w:p>
    <w:p w14:paraId="7AA8586B" w14:textId="77777777" w:rsidR="0076564A" w:rsidRPr="005E7ADD" w:rsidRDefault="0098161B" w:rsidP="0076564A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ES"/>
        </w:rPr>
      </w:pP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>Entre otros particulares,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gestión garantista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los derechos h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>umanos,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es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ejecutada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con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firmeza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nuestra institución, demostrando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con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cifras importantes las actuaciones fiscales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cuanto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a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presunta transgresión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los derechos humanos, efectuadas por agentes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</w:t>
      </w:r>
      <w:r w:rsidR="0076564A" w:rsidRPr="005E7ADD">
        <w:rPr>
          <w:rFonts w:ascii="Arial" w:eastAsia="Arial" w:hAnsi="Arial"/>
          <w:color w:val="000000"/>
          <w:sz w:val="28"/>
          <w:szCs w:val="28"/>
          <w:lang w:val="es-ES"/>
        </w:rPr>
        <w:t>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>stado (funcionarios policiales), evidenciando que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en 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período entre agosto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año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2017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hasta diciembre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 2021, en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esta materia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se ha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logrado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imputación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 </w:t>
      </w:r>
      <w:r w:rsidRPr="005E7ADD">
        <w:rPr>
          <w:rFonts w:ascii="Arial" w:eastAsia="Arial" w:hAnsi="Arial"/>
          <w:b/>
          <w:color w:val="000000"/>
          <w:sz w:val="28"/>
          <w:szCs w:val="28"/>
          <w:lang w:val="es-MX"/>
        </w:rPr>
        <w:t>910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funcionarios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seguridad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Estado, han sido acusados</w:t>
      </w:r>
      <w:r w:rsidRPr="005E7ADD">
        <w:rPr>
          <w:rFonts w:ascii="Arial" w:eastAsia="Arial" w:hAnsi="Arial"/>
          <w:b/>
          <w:color w:val="000000"/>
          <w:sz w:val="28"/>
          <w:szCs w:val="28"/>
          <w:lang w:val="es-MX"/>
        </w:rPr>
        <w:t xml:space="preserve"> 1285, 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>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los cuales</w:t>
      </w:r>
      <w:r w:rsidRPr="005E7ADD">
        <w:rPr>
          <w:rFonts w:ascii="Arial" w:eastAsia="Arial" w:hAnsi="Arial"/>
          <w:b/>
          <w:color w:val="000000"/>
          <w:sz w:val="28"/>
          <w:szCs w:val="28"/>
          <w:lang w:val="es-MX"/>
        </w:rPr>
        <w:t xml:space="preserve"> 619 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>se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mantienen privados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libertad, lográndose</w:t>
      </w:r>
      <w:r w:rsidRPr="005E7ADD">
        <w:rPr>
          <w:rFonts w:ascii="Arial" w:eastAsia="Arial" w:hAnsi="Arial"/>
          <w:b/>
          <w:color w:val="000000"/>
          <w:sz w:val="28"/>
          <w:szCs w:val="28"/>
          <w:lang w:val="es-MX"/>
        </w:rPr>
        <w:t xml:space="preserve"> 229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sentencias condenatorias por diversos delitos, las cuales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se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encuentran definitivamente firmes.</w:t>
      </w:r>
    </w:p>
    <w:p w14:paraId="03E8DE23" w14:textId="77777777" w:rsidR="0076564A" w:rsidRPr="005E7ADD" w:rsidRDefault="0076564A" w:rsidP="0076564A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ES"/>
        </w:rPr>
      </w:pPr>
    </w:p>
    <w:p w14:paraId="49F35226" w14:textId="77777777" w:rsidR="005E7ADD" w:rsidRDefault="0098161B" w:rsidP="005E7ADD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ES"/>
        </w:rPr>
      </w:pP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>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igual modo, resulta importante destacar que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Ministerio Público comprometido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con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protección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los derechos humanos y civiles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tutelados por nuestra Constitución,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aras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garantizar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acceso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a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justicia y dar atención especializada,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se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crea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Oficina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Atención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a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Víctima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materia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Derechos Humanos,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cual cuenta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con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rango legal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en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Ley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Protección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Víctimas,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Testigos y demás Sujetos Procesales, dicha </w:t>
      </w:r>
      <w:r w:rsidR="005E7ADD" w:rsidRPr="005E7ADD">
        <w:rPr>
          <w:rFonts w:ascii="Arial" w:eastAsia="Arial" w:hAnsi="Arial"/>
          <w:color w:val="000000"/>
          <w:sz w:val="28"/>
          <w:szCs w:val="28"/>
          <w:lang w:val="es-ES"/>
        </w:rPr>
        <w:t>O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>ficina tiene como objetivo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principal la</w:t>
      </w:r>
      <w:r w:rsidR="005E7ADD"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atención 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lastRenderedPageBreak/>
        <w:t>multidisciplinaria conformada por profesionales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área jurídica, psicológica y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social,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donde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se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han atendido</w:t>
      </w:r>
      <w:r w:rsidRPr="005E7ADD">
        <w:rPr>
          <w:rFonts w:ascii="Arial" w:eastAsia="Arial" w:hAnsi="Arial"/>
          <w:b/>
          <w:color w:val="000000"/>
          <w:sz w:val="28"/>
          <w:szCs w:val="28"/>
          <w:lang w:val="es-MX"/>
        </w:rPr>
        <w:t xml:space="preserve"> 1.017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ciudadanos.</w:t>
      </w:r>
    </w:p>
    <w:p w14:paraId="14DF982F" w14:textId="77777777" w:rsidR="005E7ADD" w:rsidRDefault="005E7ADD" w:rsidP="005E7ADD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ES"/>
        </w:rPr>
      </w:pPr>
    </w:p>
    <w:p w14:paraId="37CB35E6" w14:textId="384B8EF2" w:rsidR="00F41C41" w:rsidRDefault="0098161B" w:rsidP="00F41C41">
      <w:pPr>
        <w:ind w:left="144" w:right="72"/>
        <w:jc w:val="both"/>
        <w:textAlignment w:val="baseline"/>
        <w:rPr>
          <w:rFonts w:ascii="Arial" w:eastAsia="Arial" w:hAnsi="Arial"/>
          <w:color w:val="000000"/>
          <w:spacing w:val="5"/>
          <w:sz w:val="28"/>
          <w:szCs w:val="28"/>
          <w:lang w:val="es-ES"/>
        </w:rPr>
      </w:pP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>En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cuanto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los avances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del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Ministerio Público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en la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lucha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</w:t>
      </w:r>
      <w:r w:rsidR="00F41C41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>c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>ontra la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</w:t>
      </w:r>
      <w:r w:rsidR="00F41C41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c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orrupción, han sido significativos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sus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resultados, obteniendo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través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los fiscales especializados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con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competencia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en la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materia,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acuerdo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a sus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buenas prácticas,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con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</w:t>
      </w:r>
      <w:r w:rsidR="00F41C41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los 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principios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honestidad, probidad, transparencia, pertinencia, ética, eficacia y eficiencia, un logro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ante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esa elevada complejidad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en la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defensa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del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Estado venezolano, lo cual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se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evidencia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través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las siguientes cifras</w:t>
      </w:r>
      <w:r w:rsidR="00F41C41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:</w:t>
      </w:r>
    </w:p>
    <w:p w14:paraId="5DAA44C6" w14:textId="77777777" w:rsidR="00F41C41" w:rsidRDefault="00F41C41" w:rsidP="00F41C41">
      <w:pPr>
        <w:ind w:left="144" w:right="72"/>
        <w:jc w:val="both"/>
        <w:textAlignment w:val="baseline"/>
        <w:rPr>
          <w:rFonts w:ascii="Arial" w:eastAsia="Arial" w:hAnsi="Arial"/>
          <w:color w:val="000000"/>
          <w:spacing w:val="5"/>
          <w:sz w:val="28"/>
          <w:szCs w:val="28"/>
          <w:lang w:val="es-ES"/>
        </w:rPr>
      </w:pPr>
    </w:p>
    <w:p w14:paraId="60507FA6" w14:textId="29CAE656" w:rsidR="004829A9" w:rsidRDefault="0098161B" w:rsidP="004829A9">
      <w:pPr>
        <w:ind w:left="144" w:right="72"/>
        <w:jc w:val="both"/>
        <w:textAlignment w:val="baseline"/>
        <w:rPr>
          <w:rFonts w:ascii="Arial" w:eastAsia="Arial" w:hAnsi="Arial"/>
          <w:color w:val="000000"/>
          <w:spacing w:val="5"/>
          <w:sz w:val="28"/>
          <w:szCs w:val="28"/>
          <w:lang w:val="es-ES"/>
        </w:rPr>
      </w:pP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>En el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periodo comprendido entre</w:t>
      </w:r>
      <w:r w:rsidR="00874223"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agosto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2017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y diciembre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2021 en la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referida materia,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se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han alcanzado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cantidad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de </w:t>
      </w:r>
      <w:r w:rsidRPr="005E7ADD">
        <w:rPr>
          <w:rFonts w:ascii="Arial" w:eastAsia="Arial" w:hAnsi="Arial"/>
          <w:b/>
          <w:color w:val="000000"/>
          <w:spacing w:val="5"/>
          <w:sz w:val="28"/>
          <w:szCs w:val="28"/>
          <w:lang w:val="es-MX"/>
        </w:rPr>
        <w:t>46.853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</w:t>
      </w:r>
      <w:r w:rsidR="004829A9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ctuaciones,</w:t>
      </w:r>
      <w:r w:rsidRPr="005E7ADD">
        <w:rPr>
          <w:rFonts w:ascii="Arial" w:eastAsia="Arial" w:hAnsi="Arial"/>
          <w:b/>
          <w:color w:val="000000"/>
          <w:spacing w:val="5"/>
          <w:sz w:val="28"/>
          <w:szCs w:val="28"/>
          <w:lang w:val="es-MX"/>
        </w:rPr>
        <w:t xml:space="preserve"> 9.488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</w:t>
      </w:r>
      <w:r w:rsidR="004829A9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ctos </w:t>
      </w:r>
      <w:r w:rsidR="004829A9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c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onclusivos,</w:t>
      </w:r>
      <w:r w:rsidRPr="005E7ADD">
        <w:rPr>
          <w:rFonts w:ascii="Arial" w:eastAsia="Arial" w:hAnsi="Arial"/>
          <w:b/>
          <w:color w:val="000000"/>
          <w:spacing w:val="5"/>
          <w:sz w:val="28"/>
          <w:szCs w:val="28"/>
          <w:lang w:val="es-MX"/>
        </w:rPr>
        <w:t xml:space="preserve"> 4.762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</w:t>
      </w:r>
      <w:r w:rsidR="004829A9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cusaciones,</w:t>
      </w:r>
      <w:r w:rsidRPr="005E7ADD">
        <w:rPr>
          <w:rFonts w:ascii="Arial" w:eastAsia="Arial" w:hAnsi="Arial"/>
          <w:b/>
          <w:color w:val="000000"/>
          <w:spacing w:val="5"/>
          <w:sz w:val="28"/>
          <w:szCs w:val="28"/>
          <w:lang w:val="es-MX"/>
        </w:rPr>
        <w:t xml:space="preserve"> 4.450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</w:t>
      </w:r>
      <w:r w:rsidR="004829A9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s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obreseimientos,</w:t>
      </w:r>
      <w:r w:rsidRPr="005E7ADD">
        <w:rPr>
          <w:rFonts w:ascii="Arial" w:eastAsia="Arial" w:hAnsi="Arial"/>
          <w:b/>
          <w:color w:val="000000"/>
          <w:spacing w:val="5"/>
          <w:sz w:val="28"/>
          <w:szCs w:val="28"/>
          <w:lang w:val="es-MX"/>
        </w:rPr>
        <w:t xml:space="preserve"> 276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</w:t>
      </w:r>
      <w:r w:rsidR="004829A9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a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rchivos </w:t>
      </w:r>
      <w:r w:rsidR="004829A9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f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iscales,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MX"/>
        </w:rPr>
        <w:t xml:space="preserve"> </w:t>
      </w:r>
      <w:r w:rsidRPr="005E7ADD">
        <w:rPr>
          <w:rFonts w:ascii="Arial" w:eastAsia="Arial" w:hAnsi="Arial"/>
          <w:b/>
          <w:color w:val="000000"/>
          <w:spacing w:val="5"/>
          <w:sz w:val="28"/>
          <w:szCs w:val="28"/>
          <w:lang w:val="es-MX"/>
        </w:rPr>
        <w:t>13.590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</w:t>
      </w:r>
      <w:r w:rsidR="004829A9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i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mputaciones,</w:t>
      </w:r>
      <w:r w:rsidRPr="005E7ADD">
        <w:rPr>
          <w:rFonts w:ascii="Arial" w:eastAsia="Arial" w:hAnsi="Arial"/>
          <w:b/>
          <w:color w:val="000000"/>
          <w:spacing w:val="5"/>
          <w:sz w:val="28"/>
          <w:szCs w:val="28"/>
          <w:lang w:val="es-MX"/>
        </w:rPr>
        <w:t xml:space="preserve"> 1.881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</w:t>
      </w:r>
      <w:r w:rsidR="004829A9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s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e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ntencias </w:t>
      </w:r>
      <w:r w:rsidR="004829A9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c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ondenatorias y</w:t>
      </w:r>
      <w:r w:rsidR="004829A9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;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finalmente</w:t>
      </w:r>
      <w:r w:rsidRPr="005E7ADD">
        <w:rPr>
          <w:rFonts w:ascii="Arial" w:eastAsia="Arial" w:hAnsi="Arial"/>
          <w:b/>
          <w:color w:val="000000"/>
          <w:spacing w:val="5"/>
          <w:sz w:val="28"/>
          <w:szCs w:val="28"/>
          <w:lang w:val="es-MX"/>
        </w:rPr>
        <w:t xml:space="preserve"> 3.072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 </w:t>
      </w:r>
      <w:r w:rsidR="004829A9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p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 xml:space="preserve">ersonas </w:t>
      </w:r>
      <w:r w:rsidR="004829A9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c</w:t>
      </w:r>
      <w:r w:rsidRPr="005E7ADD">
        <w:rPr>
          <w:rFonts w:ascii="Arial" w:eastAsia="Arial" w:hAnsi="Arial"/>
          <w:color w:val="000000"/>
          <w:spacing w:val="5"/>
          <w:sz w:val="28"/>
          <w:szCs w:val="28"/>
          <w:lang w:val="es-ES"/>
        </w:rPr>
        <w:t>ondenadas.</w:t>
      </w:r>
    </w:p>
    <w:p w14:paraId="606D99B2" w14:textId="77777777" w:rsidR="004829A9" w:rsidRDefault="004829A9" w:rsidP="004829A9">
      <w:pPr>
        <w:ind w:left="144" w:right="72"/>
        <w:jc w:val="both"/>
        <w:textAlignment w:val="baseline"/>
        <w:rPr>
          <w:rFonts w:ascii="Arial" w:eastAsia="Arial" w:hAnsi="Arial"/>
          <w:color w:val="000000"/>
          <w:spacing w:val="5"/>
          <w:sz w:val="28"/>
          <w:szCs w:val="28"/>
          <w:lang w:val="es-ES"/>
        </w:rPr>
      </w:pPr>
    </w:p>
    <w:p w14:paraId="22160901" w14:textId="7D7BDDEB" w:rsidR="004829A9" w:rsidRDefault="0098161B" w:rsidP="004829A9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MX"/>
        </w:rPr>
      </w:pP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>En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cuanto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los procesos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nombramientos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en el cargo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los fiscales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Ministerio Público,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se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ejecutó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el Plan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Regularización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Carrera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Fiscal en 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año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2021, 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cual tiene como justificación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principal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dar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debida reivindicación laboral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aquellos funcionarios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carrera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para optar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a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titularidad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dicho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cargo.</w:t>
      </w:r>
    </w:p>
    <w:p w14:paraId="180DF81D" w14:textId="77777777" w:rsidR="004829A9" w:rsidRDefault="004829A9" w:rsidP="004829A9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MX"/>
        </w:rPr>
      </w:pPr>
    </w:p>
    <w:p w14:paraId="49537990" w14:textId="77777777" w:rsidR="004829A9" w:rsidRDefault="0098161B" w:rsidP="004829A9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MX"/>
        </w:rPr>
      </w:pPr>
      <w:r w:rsidRPr="005E7ADD">
        <w:rPr>
          <w:rFonts w:ascii="Arial" w:eastAsia="Arial" w:hAnsi="Arial"/>
          <w:color w:val="000000"/>
          <w:spacing w:val="12"/>
          <w:sz w:val="28"/>
          <w:szCs w:val="28"/>
          <w:lang w:val="es-MX"/>
        </w:rPr>
        <w:t>Es</w:t>
      </w:r>
      <w:r w:rsidRPr="005E7ADD">
        <w:rPr>
          <w:rFonts w:ascii="Arial" w:eastAsia="Arial" w:hAnsi="Arial"/>
          <w:color w:val="000000"/>
          <w:spacing w:val="12"/>
          <w:sz w:val="28"/>
          <w:szCs w:val="28"/>
          <w:lang w:val="es-ES"/>
        </w:rPr>
        <w:t xml:space="preserve"> importante destacar que</w:t>
      </w:r>
      <w:r w:rsidRPr="005E7ADD">
        <w:rPr>
          <w:rFonts w:ascii="Arial" w:eastAsia="Arial" w:hAnsi="Arial"/>
          <w:color w:val="000000"/>
          <w:spacing w:val="12"/>
          <w:sz w:val="28"/>
          <w:szCs w:val="28"/>
          <w:lang w:val="es-MX"/>
        </w:rPr>
        <w:t xml:space="preserve"> el</w:t>
      </w:r>
      <w:r w:rsidRPr="005E7ADD">
        <w:rPr>
          <w:rFonts w:ascii="Arial" w:eastAsia="Arial" w:hAnsi="Arial"/>
          <w:color w:val="000000"/>
          <w:spacing w:val="12"/>
          <w:sz w:val="28"/>
          <w:szCs w:val="28"/>
          <w:lang w:val="es-ES"/>
        </w:rPr>
        <w:t xml:space="preserve"> referido</w:t>
      </w:r>
      <w:r w:rsidRPr="005E7ADD">
        <w:rPr>
          <w:rFonts w:ascii="Arial" w:eastAsia="Arial" w:hAnsi="Arial"/>
          <w:color w:val="000000"/>
          <w:spacing w:val="12"/>
          <w:sz w:val="28"/>
          <w:szCs w:val="28"/>
          <w:lang w:val="es-MX"/>
        </w:rPr>
        <w:t xml:space="preserve"> plan de</w:t>
      </w:r>
      <w:r w:rsidRPr="005E7ADD">
        <w:rPr>
          <w:rFonts w:ascii="Arial" w:eastAsia="Arial" w:hAnsi="Arial"/>
          <w:color w:val="000000"/>
          <w:spacing w:val="12"/>
          <w:sz w:val="28"/>
          <w:szCs w:val="28"/>
          <w:lang w:val="es-ES"/>
        </w:rPr>
        <w:t xml:space="preserve"> regularización,</w:t>
      </w:r>
      <w:r w:rsidRPr="005E7ADD">
        <w:rPr>
          <w:rFonts w:ascii="Arial" w:eastAsia="Arial" w:hAnsi="Arial"/>
          <w:color w:val="000000"/>
          <w:spacing w:val="12"/>
          <w:sz w:val="28"/>
          <w:szCs w:val="28"/>
          <w:lang w:val="es-MX"/>
        </w:rPr>
        <w:t xml:space="preserve"> es de</w:t>
      </w:r>
      <w:r w:rsidRPr="005E7ADD">
        <w:rPr>
          <w:rFonts w:ascii="Arial" w:eastAsia="Arial" w:hAnsi="Arial"/>
          <w:color w:val="000000"/>
          <w:spacing w:val="12"/>
          <w:sz w:val="28"/>
          <w:szCs w:val="28"/>
          <w:lang w:val="es-ES"/>
        </w:rPr>
        <w:t xml:space="preserve"> suma</w:t>
      </w:r>
      <w:r w:rsidR="004829A9">
        <w:rPr>
          <w:rFonts w:ascii="Arial" w:eastAsia="Arial" w:hAnsi="Arial"/>
          <w:color w:val="000000"/>
          <w:sz w:val="28"/>
          <w:szCs w:val="28"/>
          <w:lang w:val="es-MX"/>
        </w:rPr>
        <w:t xml:space="preserve"> 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>importancia para los fis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>cales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del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Ministerio Público, ya que afianza su seguridad</w:t>
      </w:r>
      <w:r w:rsidR="004829A9">
        <w:rPr>
          <w:rFonts w:ascii="Arial" w:eastAsia="Arial" w:hAnsi="Arial"/>
          <w:color w:val="000000"/>
          <w:sz w:val="28"/>
          <w:szCs w:val="28"/>
          <w:lang w:val="es-MX"/>
        </w:rPr>
        <w:t xml:space="preserve"> </w:t>
      </w:r>
      <w:r w:rsidRPr="005E7ADD">
        <w:rPr>
          <w:rFonts w:ascii="Arial" w:eastAsia="Arial" w:hAnsi="Arial"/>
          <w:color w:val="000000"/>
          <w:spacing w:val="9"/>
          <w:sz w:val="28"/>
          <w:szCs w:val="28"/>
          <w:lang w:val="es-ES"/>
        </w:rPr>
        <w:t>laboral permitiendo que bajo los principios</w:t>
      </w:r>
      <w:r w:rsidRPr="005E7ADD">
        <w:rPr>
          <w:rFonts w:ascii="Arial" w:eastAsia="Arial" w:hAnsi="Arial"/>
          <w:color w:val="000000"/>
          <w:spacing w:val="9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9"/>
          <w:sz w:val="28"/>
          <w:szCs w:val="28"/>
          <w:lang w:val="es-ES"/>
        </w:rPr>
        <w:t xml:space="preserve"> legalidad, imparcialidad, eficacia, probidad y justicia ejerzan</w:t>
      </w:r>
      <w:r w:rsidRPr="005E7ADD">
        <w:rPr>
          <w:rFonts w:ascii="Arial" w:eastAsia="Arial" w:hAnsi="Arial"/>
          <w:color w:val="000000"/>
          <w:spacing w:val="9"/>
          <w:sz w:val="28"/>
          <w:szCs w:val="28"/>
          <w:lang w:val="es-MX"/>
        </w:rPr>
        <w:t xml:space="preserve"> sus</w:t>
      </w:r>
      <w:r w:rsidRPr="005E7ADD">
        <w:rPr>
          <w:rFonts w:ascii="Arial" w:eastAsia="Arial" w:hAnsi="Arial"/>
          <w:color w:val="000000"/>
          <w:spacing w:val="9"/>
          <w:sz w:val="28"/>
          <w:szCs w:val="28"/>
          <w:lang w:val="es-ES"/>
        </w:rPr>
        <w:t xml:space="preserve"> atribuciones legales</w:t>
      </w:r>
      <w:r w:rsidRPr="005E7ADD">
        <w:rPr>
          <w:rFonts w:ascii="Arial" w:eastAsia="Arial" w:hAnsi="Arial"/>
          <w:color w:val="000000"/>
          <w:spacing w:val="9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9"/>
          <w:sz w:val="28"/>
          <w:szCs w:val="28"/>
          <w:lang w:val="es-ES"/>
        </w:rPr>
        <w:t xml:space="preserve"> manera oportuna comprometidos</w:t>
      </w:r>
      <w:r w:rsidRPr="005E7ADD">
        <w:rPr>
          <w:rFonts w:ascii="Arial" w:eastAsia="Arial" w:hAnsi="Arial"/>
          <w:color w:val="000000"/>
          <w:spacing w:val="9"/>
          <w:sz w:val="28"/>
          <w:szCs w:val="28"/>
          <w:lang w:val="es-MX"/>
        </w:rPr>
        <w:t xml:space="preserve"> con la</w:t>
      </w:r>
      <w:r w:rsidRPr="005E7ADD">
        <w:rPr>
          <w:rFonts w:ascii="Arial" w:eastAsia="Arial" w:hAnsi="Arial"/>
          <w:color w:val="000000"/>
          <w:spacing w:val="9"/>
          <w:sz w:val="28"/>
          <w:szCs w:val="28"/>
          <w:lang w:val="es-ES"/>
        </w:rPr>
        <w:t xml:space="preserve"> preeminencia</w:t>
      </w:r>
      <w:r w:rsidRPr="005E7ADD">
        <w:rPr>
          <w:rFonts w:ascii="Arial" w:eastAsia="Arial" w:hAnsi="Arial"/>
          <w:color w:val="000000"/>
          <w:spacing w:val="9"/>
          <w:sz w:val="28"/>
          <w:szCs w:val="28"/>
          <w:lang w:val="es-MX"/>
        </w:rPr>
        <w:t xml:space="preserve"> de la</w:t>
      </w:r>
      <w:r w:rsidRPr="005E7ADD">
        <w:rPr>
          <w:rFonts w:ascii="Arial" w:eastAsia="Arial" w:hAnsi="Arial"/>
          <w:color w:val="000000"/>
          <w:spacing w:val="9"/>
          <w:sz w:val="28"/>
          <w:szCs w:val="28"/>
          <w:lang w:val="es-ES"/>
        </w:rPr>
        <w:t xml:space="preserve"> justicia y los derechos humanos.</w:t>
      </w:r>
    </w:p>
    <w:p w14:paraId="0D405B69" w14:textId="77777777" w:rsidR="004829A9" w:rsidRDefault="004829A9" w:rsidP="004829A9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MX"/>
        </w:rPr>
      </w:pPr>
    </w:p>
    <w:p w14:paraId="25A84830" w14:textId="407C3B91" w:rsidR="004829A9" w:rsidRDefault="0098161B" w:rsidP="004829A9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MX"/>
        </w:rPr>
      </w:pP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>De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igual manera,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es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importante señalar que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el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Ministerio Público,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manera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continua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y permanente realiza trabajo conjunto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con la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Oficina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de la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Alta Comisionada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las Naciones Unidas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</w:t>
      </w:r>
      <w:r w:rsidR="00E60D83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>para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los Derechos Hu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>manos (OACNUDH),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cual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ha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tenido como finalidad, ofrecer resolución judicial oportuna y celeridad procesal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en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los diversos casos presentados, comprometidos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en el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avance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las peticiones y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el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intercambio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ideas para afianzar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manera positiva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la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prote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>cción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los derechos humanos, así como líneas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investigación para avanzar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MX"/>
        </w:rPr>
        <w:t xml:space="preserve"> en</w:t>
      </w:r>
      <w:r w:rsidRPr="005E7ADD">
        <w:rPr>
          <w:rFonts w:ascii="Arial" w:eastAsia="Arial" w:hAnsi="Arial"/>
          <w:color w:val="000000"/>
          <w:spacing w:val="11"/>
          <w:sz w:val="28"/>
          <w:szCs w:val="28"/>
          <w:lang w:val="es-ES"/>
        </w:rPr>
        <w:t xml:space="preserve"> los mismos.</w:t>
      </w:r>
    </w:p>
    <w:p w14:paraId="6E19A131" w14:textId="77777777" w:rsidR="004829A9" w:rsidRDefault="004829A9" w:rsidP="004829A9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MX"/>
        </w:rPr>
      </w:pPr>
    </w:p>
    <w:p w14:paraId="2F826F7C" w14:textId="5894C003" w:rsidR="004829A9" w:rsidRDefault="0098161B" w:rsidP="004829A9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ES"/>
        </w:rPr>
      </w:pP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>Por otra parte,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en 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per</w:t>
      </w:r>
      <w:r>
        <w:rPr>
          <w:rFonts w:ascii="Arial" w:eastAsia="Arial" w:hAnsi="Arial"/>
          <w:color w:val="000000"/>
          <w:sz w:val="28"/>
          <w:szCs w:val="28"/>
          <w:lang w:val="es-ES"/>
        </w:rPr>
        <w:t>í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>odo comprendido entre agosto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año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2017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hasta diciembre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año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2021,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ingresaron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al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Ministerio Publico</w:t>
      </w:r>
      <w:r w:rsidRPr="005E7ADD">
        <w:rPr>
          <w:rFonts w:ascii="Arial" w:eastAsia="Arial" w:hAnsi="Arial"/>
          <w:b/>
          <w:color w:val="000000"/>
          <w:sz w:val="28"/>
          <w:szCs w:val="28"/>
          <w:lang w:val="es-MX"/>
        </w:rPr>
        <w:t xml:space="preserve"> </w:t>
      </w:r>
      <w:r w:rsidRPr="005E7ADD">
        <w:rPr>
          <w:rFonts w:ascii="Arial" w:eastAsia="Arial" w:hAnsi="Arial"/>
          <w:b/>
          <w:color w:val="000000"/>
          <w:sz w:val="28"/>
          <w:szCs w:val="28"/>
          <w:lang w:val="es-MX"/>
        </w:rPr>
        <w:lastRenderedPageBreak/>
        <w:t>1.613.534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causas penales, realizando</w:t>
      </w:r>
      <w:r w:rsidRPr="005E7ADD">
        <w:rPr>
          <w:rFonts w:ascii="Arial" w:eastAsia="Arial" w:hAnsi="Arial"/>
          <w:b/>
          <w:color w:val="000000"/>
          <w:sz w:val="28"/>
          <w:szCs w:val="28"/>
          <w:lang w:val="es-MX"/>
        </w:rPr>
        <w:t xml:space="preserve"> 3.010.253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actuaciones fiscales</w:t>
      </w:r>
      <w:r>
        <w:rPr>
          <w:rFonts w:ascii="Arial" w:eastAsia="Arial" w:hAnsi="Arial"/>
          <w:color w:val="000000"/>
          <w:sz w:val="28"/>
          <w:szCs w:val="28"/>
          <w:lang w:val="es-ES"/>
        </w:rPr>
        <w:t>,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logrando realizar</w:t>
      </w:r>
      <w:r w:rsidRPr="005E7ADD">
        <w:rPr>
          <w:rFonts w:ascii="Arial" w:eastAsia="Arial" w:hAnsi="Arial"/>
          <w:b/>
          <w:color w:val="000000"/>
          <w:sz w:val="28"/>
          <w:szCs w:val="28"/>
          <w:lang w:val="es-MX"/>
        </w:rPr>
        <w:t xml:space="preserve"> 699.073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imputaciones y</w:t>
      </w:r>
      <w:r w:rsidRPr="005E7ADD">
        <w:rPr>
          <w:rFonts w:ascii="Arial" w:eastAsia="Arial" w:hAnsi="Arial"/>
          <w:b/>
          <w:color w:val="000000"/>
          <w:sz w:val="28"/>
          <w:szCs w:val="28"/>
          <w:lang w:val="es-MX"/>
        </w:rPr>
        <w:t xml:space="preserve"> 236.715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acusaciones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nivel general.</w:t>
      </w:r>
    </w:p>
    <w:p w14:paraId="0647C14F" w14:textId="77777777" w:rsidR="004829A9" w:rsidRDefault="004829A9" w:rsidP="004829A9">
      <w:pPr>
        <w:ind w:left="144" w:right="72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es-ES"/>
        </w:rPr>
      </w:pPr>
    </w:p>
    <w:p w14:paraId="6F004632" w14:textId="21047CCD" w:rsidR="00650B45" w:rsidRPr="005E7ADD" w:rsidRDefault="0098161B" w:rsidP="004829A9">
      <w:pPr>
        <w:ind w:left="144" w:right="72"/>
        <w:jc w:val="both"/>
        <w:textAlignment w:val="baseline"/>
        <w:rPr>
          <w:sz w:val="28"/>
          <w:szCs w:val="28"/>
          <w:lang w:val="es-MX"/>
        </w:rPr>
        <w:sectPr w:rsidR="00650B45" w:rsidRPr="005E7ADD">
          <w:footerReference w:type="default" r:id="rId8"/>
          <w:pgSz w:w="11909" w:h="16838"/>
          <w:pgMar w:top="1600" w:right="1640" w:bottom="229" w:left="1209" w:header="720" w:footer="720" w:gutter="0"/>
          <w:cols w:space="720"/>
        </w:sectPr>
      </w:pP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>Es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hacer notar que,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con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ocasión,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al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desarrollo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dichas investigaciones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el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Ministerio Público cuenta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con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unidades técnicas científicas especializadas,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las distintas áreas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competencia, que coadyuvan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manera eficaz,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a la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resolución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las mismas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en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tiempo real, aportando garantía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seguridad, ver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>acidad, transparencia y confiabilidad</w:t>
      </w:r>
      <w:r w:rsidRPr="005E7ADD">
        <w:rPr>
          <w:rFonts w:ascii="Arial" w:eastAsia="Arial" w:hAnsi="Arial"/>
          <w:color w:val="000000"/>
          <w:sz w:val="28"/>
          <w:szCs w:val="28"/>
          <w:lang w:val="es-MX"/>
        </w:rPr>
        <w:t xml:space="preserve"> de sus</w:t>
      </w:r>
      <w:r w:rsidRPr="005E7ADD">
        <w:rPr>
          <w:rFonts w:ascii="Arial" w:eastAsia="Arial" w:hAnsi="Arial"/>
          <w:color w:val="000000"/>
          <w:sz w:val="28"/>
          <w:szCs w:val="28"/>
          <w:lang w:val="es-ES"/>
        </w:rPr>
        <w:t xml:space="preserve"> resultados</w:t>
      </w:r>
      <w:r w:rsidR="00704DD6">
        <w:rPr>
          <w:rFonts w:ascii="Arial" w:eastAsia="Arial" w:hAnsi="Arial"/>
          <w:color w:val="000000"/>
          <w:sz w:val="28"/>
          <w:szCs w:val="28"/>
          <w:lang w:val="es-ES"/>
        </w:rPr>
        <w:t>.</w:t>
      </w:r>
    </w:p>
    <w:p w14:paraId="7891F1D5" w14:textId="04AFFDF2" w:rsidR="00650B45" w:rsidRPr="00704DD6" w:rsidRDefault="00650B45" w:rsidP="00DC0E74">
      <w:pPr>
        <w:textAlignment w:val="baseline"/>
        <w:rPr>
          <w:rFonts w:ascii="Arial" w:eastAsia="Arial" w:hAnsi="Arial"/>
          <w:color w:val="000000"/>
          <w:spacing w:val="3"/>
          <w:sz w:val="28"/>
          <w:szCs w:val="28"/>
          <w:lang w:val="es-MX"/>
        </w:rPr>
      </w:pPr>
    </w:p>
    <w:sectPr w:rsidR="00650B45" w:rsidRPr="00704DD6">
      <w:type w:val="continuous"/>
      <w:pgSz w:w="11909" w:h="16838"/>
      <w:pgMar w:top="1600" w:right="2021" w:bottom="229" w:left="7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E7AB" w14:textId="77777777" w:rsidR="00874223" w:rsidRDefault="00874223" w:rsidP="00874223">
      <w:r>
        <w:separator/>
      </w:r>
    </w:p>
  </w:endnote>
  <w:endnote w:type="continuationSeparator" w:id="0">
    <w:p w14:paraId="587D73CC" w14:textId="77777777" w:rsidR="00874223" w:rsidRDefault="00874223" w:rsidP="0087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311458"/>
      <w:docPartObj>
        <w:docPartGallery w:val="Page Numbers (Bottom of Page)"/>
        <w:docPartUnique/>
      </w:docPartObj>
    </w:sdtPr>
    <w:sdtContent>
      <w:p w14:paraId="2458EBF7" w14:textId="624FF8E8" w:rsidR="00874223" w:rsidRDefault="008742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25C991B" w14:textId="77777777" w:rsidR="00874223" w:rsidRDefault="008742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2ECD" w14:textId="77777777" w:rsidR="00874223" w:rsidRDefault="00874223" w:rsidP="00874223">
      <w:r>
        <w:separator/>
      </w:r>
    </w:p>
  </w:footnote>
  <w:footnote w:type="continuationSeparator" w:id="0">
    <w:p w14:paraId="4250ED54" w14:textId="77777777" w:rsidR="00874223" w:rsidRDefault="00874223" w:rsidP="0087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45"/>
    <w:rsid w:val="004829A9"/>
    <w:rsid w:val="005E7ADD"/>
    <w:rsid w:val="00650B45"/>
    <w:rsid w:val="00704DD6"/>
    <w:rsid w:val="0076564A"/>
    <w:rsid w:val="00874223"/>
    <w:rsid w:val="0089305F"/>
    <w:rsid w:val="0098161B"/>
    <w:rsid w:val="00DC0E74"/>
    <w:rsid w:val="00E60D83"/>
    <w:rsid w:val="00F4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2012"/>
  <w15:docId w15:val="{FE890353-18E2-4D02-9293-9769D67A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2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223"/>
  </w:style>
  <w:style w:type="paragraph" w:styleId="Piedepgina">
    <w:name w:val="footer"/>
    <w:basedOn w:val="Normal"/>
    <w:link w:val="PiedepginaCar"/>
    <w:uiPriority w:val="99"/>
    <w:unhideWhenUsed/>
    <w:rsid w:val="008742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fId" Type="http://schemas.openxmlformats.org/wordprocessingml/2006/fontTable" Target="fontTable0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09879-F0EC-4ABE-85A9-E1957B1A4DCC}"/>
</file>

<file path=customXml/itemProps2.xml><?xml version="1.0" encoding="utf-8"?>
<ds:datastoreItem xmlns:ds="http://schemas.openxmlformats.org/officeDocument/2006/customXml" ds:itemID="{D2D92090-2680-4BE6-93D9-105EB42C2CAC}"/>
</file>

<file path=customXml/itemProps3.xml><?xml version="1.0" encoding="utf-8"?>
<ds:datastoreItem xmlns:ds="http://schemas.openxmlformats.org/officeDocument/2006/customXml" ds:itemID="{FB5467CE-B10A-4A07-87A8-2A813FCCC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Peña</dc:creator>
  <cp:lastModifiedBy>Felix Peña</cp:lastModifiedBy>
  <cp:revision>2</cp:revision>
  <dcterms:created xsi:type="dcterms:W3CDTF">2022-01-25T11:41:00Z</dcterms:created>
  <dcterms:modified xsi:type="dcterms:W3CDTF">2022-01-25T11:41:00Z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