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4D1A" w14:textId="77777777" w:rsidR="004E0A29" w:rsidRDefault="004E0A29" w:rsidP="004E0A29">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U.S. Statement at the Universal Periodic Review of Greece,</w:t>
      </w:r>
      <w:r>
        <w:rPr>
          <w:rStyle w:val="normaltextrun"/>
          <w:sz w:val="28"/>
          <w:szCs w:val="28"/>
        </w:rPr>
        <w:t> </w:t>
      </w:r>
      <w:r>
        <w:rPr>
          <w:rStyle w:val="eop"/>
          <w:sz w:val="28"/>
          <w:szCs w:val="28"/>
        </w:rPr>
        <w:t> </w:t>
      </w:r>
    </w:p>
    <w:p w14:paraId="6D23AB65" w14:textId="77777777" w:rsidR="004E0A29" w:rsidRDefault="004E0A29" w:rsidP="004E0A29">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39</w:t>
      </w:r>
      <w:r>
        <w:rPr>
          <w:rStyle w:val="normaltextrun"/>
          <w:b/>
          <w:bCs/>
          <w:sz w:val="17"/>
          <w:szCs w:val="17"/>
          <w:vertAlign w:val="superscript"/>
        </w:rPr>
        <w:t>th</w:t>
      </w:r>
      <w:r>
        <w:rPr>
          <w:rStyle w:val="normaltextrun"/>
          <w:b/>
          <w:bCs/>
          <w:sz w:val="28"/>
          <w:szCs w:val="28"/>
        </w:rPr>
        <w:t> Session, November 1, 2021</w:t>
      </w:r>
      <w:r>
        <w:rPr>
          <w:rStyle w:val="normaltextrun"/>
          <w:sz w:val="28"/>
          <w:szCs w:val="28"/>
        </w:rPr>
        <w:t> </w:t>
      </w:r>
      <w:r>
        <w:rPr>
          <w:rStyle w:val="eop"/>
          <w:sz w:val="28"/>
          <w:szCs w:val="28"/>
        </w:rPr>
        <w:t> </w:t>
      </w:r>
    </w:p>
    <w:p w14:paraId="0C733070" w14:textId="77777777" w:rsidR="004E0A29" w:rsidRDefault="004E0A29" w:rsidP="004E0A29">
      <w:pPr>
        <w:pStyle w:val="paragraph"/>
        <w:spacing w:before="0" w:beforeAutospacing="0" w:after="0" w:afterAutospacing="0"/>
        <w:textAlignment w:val="baseline"/>
        <w:rPr>
          <w:rFonts w:ascii="Segoe UI" w:hAnsi="Segoe UI" w:cs="Segoe UI"/>
          <w:sz w:val="18"/>
          <w:szCs w:val="18"/>
        </w:rPr>
      </w:pPr>
      <w:r>
        <w:rPr>
          <w:rStyle w:val="normaltextrun"/>
          <w:sz w:val="28"/>
          <w:szCs w:val="28"/>
        </w:rPr>
        <w:t> </w:t>
      </w:r>
      <w:r>
        <w:rPr>
          <w:rStyle w:val="eop"/>
          <w:sz w:val="28"/>
          <w:szCs w:val="28"/>
        </w:rPr>
        <w:t> </w:t>
      </w:r>
    </w:p>
    <w:p w14:paraId="3A15FE26" w14:textId="77777777" w:rsidR="004E0A29" w:rsidRDefault="004E0A29" w:rsidP="004E0A29">
      <w:pPr>
        <w:pStyle w:val="paragraph"/>
        <w:spacing w:before="0" w:beforeAutospacing="0" w:after="0" w:afterAutospacing="0"/>
        <w:textAlignment w:val="baseline"/>
        <w:rPr>
          <w:rFonts w:ascii="Segoe UI" w:hAnsi="Segoe UI" w:cs="Segoe UI"/>
          <w:sz w:val="18"/>
          <w:szCs w:val="18"/>
        </w:rPr>
      </w:pPr>
      <w:r>
        <w:rPr>
          <w:rStyle w:val="normaltextrun"/>
          <w:sz w:val="28"/>
          <w:szCs w:val="28"/>
        </w:rPr>
        <w:t>The United States recommends that Greece: </w:t>
      </w:r>
      <w:r>
        <w:rPr>
          <w:rStyle w:val="eop"/>
          <w:sz w:val="28"/>
          <w:szCs w:val="28"/>
        </w:rPr>
        <w:t> </w:t>
      </w:r>
    </w:p>
    <w:p w14:paraId="78C3B9E3" w14:textId="77777777" w:rsidR="004E0A29" w:rsidRDefault="004E0A29" w:rsidP="004E0A29">
      <w:pPr>
        <w:pStyle w:val="paragraph"/>
        <w:spacing w:before="0" w:beforeAutospacing="0" w:after="0" w:afterAutospacing="0"/>
        <w:textAlignment w:val="baseline"/>
        <w:rPr>
          <w:rFonts w:ascii="Segoe UI" w:hAnsi="Segoe UI" w:cs="Segoe UI"/>
          <w:sz w:val="18"/>
          <w:szCs w:val="18"/>
        </w:rPr>
      </w:pPr>
      <w:r>
        <w:rPr>
          <w:rStyle w:val="normaltextrun"/>
          <w:sz w:val="28"/>
          <w:szCs w:val="28"/>
        </w:rPr>
        <w:t> </w:t>
      </w:r>
      <w:r>
        <w:rPr>
          <w:rStyle w:val="eop"/>
          <w:sz w:val="28"/>
          <w:szCs w:val="28"/>
        </w:rPr>
        <w:t> </w:t>
      </w:r>
    </w:p>
    <w:p w14:paraId="07BF419D" w14:textId="77777777" w:rsidR="004E0A29" w:rsidRDefault="004E0A29" w:rsidP="004E0A29">
      <w:pPr>
        <w:pStyle w:val="paragraph"/>
        <w:numPr>
          <w:ilvl w:val="0"/>
          <w:numId w:val="1"/>
        </w:numPr>
        <w:spacing w:before="0" w:beforeAutospacing="0" w:after="0" w:afterAutospacing="0"/>
        <w:ind w:left="1800" w:firstLine="360"/>
        <w:textAlignment w:val="baseline"/>
        <w:rPr>
          <w:sz w:val="28"/>
          <w:szCs w:val="28"/>
        </w:rPr>
      </w:pPr>
      <w:r>
        <w:rPr>
          <w:rStyle w:val="normaltextrun"/>
          <w:sz w:val="28"/>
          <w:szCs w:val="28"/>
        </w:rPr>
        <w:t>Conduct thorough, </w:t>
      </w:r>
      <w:proofErr w:type="gramStart"/>
      <w:r>
        <w:rPr>
          <w:rStyle w:val="normaltextrun"/>
          <w:sz w:val="28"/>
          <w:szCs w:val="28"/>
        </w:rPr>
        <w:t>transparent</w:t>
      </w:r>
      <w:proofErr w:type="gramEnd"/>
      <w:r>
        <w:rPr>
          <w:rStyle w:val="normaltextrun"/>
          <w:sz w:val="28"/>
          <w:szCs w:val="28"/>
        </w:rPr>
        <w:t> and credible investigations into reports of abuses against asylum seekers and migrants, including pushbacks at sea that endanger the lives of migrants, destruction of identity documents, and the forcible deportation of asylum seekers holding valid residency credentials. </w:t>
      </w:r>
      <w:r>
        <w:rPr>
          <w:rStyle w:val="scxw247446751"/>
          <w:sz w:val="28"/>
          <w:szCs w:val="28"/>
        </w:rPr>
        <w:t> </w:t>
      </w:r>
      <w:r>
        <w:rPr>
          <w:sz w:val="28"/>
          <w:szCs w:val="28"/>
        </w:rPr>
        <w:br/>
      </w:r>
      <w:r>
        <w:rPr>
          <w:rStyle w:val="normaltextrun"/>
          <w:sz w:val="28"/>
          <w:szCs w:val="28"/>
        </w:rPr>
        <w:t> </w:t>
      </w:r>
      <w:r>
        <w:rPr>
          <w:rStyle w:val="eop"/>
          <w:sz w:val="28"/>
          <w:szCs w:val="28"/>
        </w:rPr>
        <w:t> </w:t>
      </w:r>
    </w:p>
    <w:p w14:paraId="4F44D929" w14:textId="77777777" w:rsidR="004E0A29" w:rsidRDefault="004E0A29" w:rsidP="004E0A29">
      <w:pPr>
        <w:pStyle w:val="paragraph"/>
        <w:numPr>
          <w:ilvl w:val="0"/>
          <w:numId w:val="2"/>
        </w:numPr>
        <w:spacing w:before="0" w:beforeAutospacing="0" w:after="0" w:afterAutospacing="0"/>
        <w:ind w:left="1800" w:firstLine="360"/>
        <w:textAlignment w:val="baseline"/>
        <w:rPr>
          <w:rFonts w:ascii="DengXian" w:eastAsia="DengXian" w:hAnsi="DengXian" w:cs="Segoe UI"/>
          <w:sz w:val="28"/>
          <w:szCs w:val="28"/>
        </w:rPr>
      </w:pPr>
      <w:r>
        <w:rPr>
          <w:rStyle w:val="normaltextrun"/>
          <w:rFonts w:eastAsia="DengXian"/>
          <w:sz w:val="28"/>
          <w:szCs w:val="28"/>
        </w:rPr>
        <w:t>Ensure that migrant and asylum-seeking populations detained in pre-removal facilities or residing at the country’s six reception and identification centers have healthy living conditions and access to education for children and are screened for trafficking indicators. </w:t>
      </w:r>
      <w:r>
        <w:rPr>
          <w:rStyle w:val="scxw247446751"/>
          <w:rFonts w:ascii="DengXian" w:eastAsia="DengXian" w:hAnsi="DengXian" w:cs="Segoe UI" w:hint="eastAsia"/>
          <w:sz w:val="28"/>
          <w:szCs w:val="28"/>
        </w:rPr>
        <w:t> </w:t>
      </w:r>
      <w:r>
        <w:rPr>
          <w:rFonts w:ascii="DengXian" w:eastAsia="DengXian" w:hAnsi="DengXian" w:cs="Segoe UI" w:hint="eastAsia"/>
          <w:sz w:val="28"/>
          <w:szCs w:val="28"/>
        </w:rPr>
        <w:br/>
      </w:r>
      <w:r>
        <w:rPr>
          <w:rStyle w:val="normaltextrun"/>
          <w:rFonts w:eastAsia="DengXian"/>
          <w:sz w:val="28"/>
          <w:szCs w:val="28"/>
        </w:rPr>
        <w:t> </w:t>
      </w:r>
      <w:r>
        <w:rPr>
          <w:rStyle w:val="eop"/>
          <w:rFonts w:ascii="DengXian" w:eastAsia="DengXian" w:hAnsi="DengXian" w:cs="Segoe UI" w:hint="eastAsia"/>
          <w:sz w:val="28"/>
          <w:szCs w:val="28"/>
        </w:rPr>
        <w:t> </w:t>
      </w:r>
    </w:p>
    <w:p w14:paraId="1F4BCB6B" w14:textId="77777777" w:rsidR="004E0A29" w:rsidRDefault="004E0A29" w:rsidP="004E0A29">
      <w:pPr>
        <w:pStyle w:val="paragraph"/>
        <w:numPr>
          <w:ilvl w:val="0"/>
          <w:numId w:val="3"/>
        </w:numPr>
        <w:spacing w:before="0" w:beforeAutospacing="0" w:after="0" w:afterAutospacing="0"/>
        <w:ind w:left="1800" w:firstLine="360"/>
        <w:textAlignment w:val="baseline"/>
        <w:rPr>
          <w:rFonts w:ascii="DengXian" w:eastAsia="DengXian" w:hAnsi="DengXian" w:cs="Segoe UI" w:hint="eastAsia"/>
          <w:sz w:val="28"/>
          <w:szCs w:val="28"/>
        </w:rPr>
      </w:pPr>
      <w:r>
        <w:rPr>
          <w:rStyle w:val="normaltextrun"/>
          <w:rFonts w:eastAsia="DengXian"/>
          <w:sz w:val="28"/>
          <w:szCs w:val="28"/>
        </w:rPr>
        <w:t>Strengthen the penalties for violence targeting members of national, racial, ethnic, and religious minority groups, </w:t>
      </w:r>
      <w:proofErr w:type="gramStart"/>
      <w:r>
        <w:rPr>
          <w:rStyle w:val="normaltextrun"/>
          <w:rFonts w:eastAsia="DengXian"/>
          <w:sz w:val="28"/>
          <w:szCs w:val="28"/>
        </w:rPr>
        <w:t>women</w:t>
      </w:r>
      <w:proofErr w:type="gramEnd"/>
      <w:r>
        <w:rPr>
          <w:rStyle w:val="normaltextrun"/>
          <w:rFonts w:eastAsia="DengXian"/>
          <w:sz w:val="28"/>
          <w:szCs w:val="28"/>
        </w:rPr>
        <w:t xml:space="preserve"> and gender non-conforming persons, acts of antisemitism, and other hate crimes. </w:t>
      </w:r>
      <w:r>
        <w:rPr>
          <w:rStyle w:val="eop"/>
          <w:rFonts w:ascii="DengXian" w:eastAsia="DengXian" w:hAnsi="DengXian" w:cs="Segoe UI" w:hint="eastAsia"/>
          <w:sz w:val="28"/>
          <w:szCs w:val="28"/>
        </w:rPr>
        <w:t> </w:t>
      </w:r>
    </w:p>
    <w:p w14:paraId="39C79353" w14:textId="77777777" w:rsidR="004E0A29" w:rsidRDefault="004E0A29" w:rsidP="004E0A29">
      <w:pPr>
        <w:pStyle w:val="paragraph"/>
        <w:spacing w:before="0" w:beforeAutospacing="0" w:after="0" w:afterAutospacing="0"/>
        <w:textAlignment w:val="baseline"/>
        <w:rPr>
          <w:rFonts w:ascii="Segoe UI" w:hAnsi="Segoe UI" w:cs="Segoe UI" w:hint="eastAsia"/>
          <w:sz w:val="18"/>
          <w:szCs w:val="18"/>
        </w:rPr>
      </w:pPr>
      <w:r>
        <w:rPr>
          <w:rStyle w:val="normaltextrun"/>
          <w:sz w:val="28"/>
          <w:szCs w:val="28"/>
        </w:rPr>
        <w:t> </w:t>
      </w:r>
      <w:r>
        <w:rPr>
          <w:rStyle w:val="eop"/>
          <w:sz w:val="28"/>
          <w:szCs w:val="28"/>
        </w:rPr>
        <w:t> </w:t>
      </w:r>
    </w:p>
    <w:p w14:paraId="386BAD9F" w14:textId="77777777" w:rsidR="004E0A29" w:rsidRDefault="004E0A29" w:rsidP="004E0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We recognize irregular migration poses a significant challenge for Greece and urge it to respond in a manner consistent with respect for the human rights of the affected individuals.  </w:t>
      </w:r>
      <w:r>
        <w:rPr>
          <w:rStyle w:val="eop"/>
          <w:rFonts w:ascii="Calibri" w:hAnsi="Calibri" w:cs="Calibri"/>
          <w:sz w:val="28"/>
          <w:szCs w:val="28"/>
        </w:rPr>
        <w:t> </w:t>
      </w:r>
    </w:p>
    <w:p w14:paraId="702BF3F4" w14:textId="77777777" w:rsidR="004E0A29" w:rsidRDefault="004E0A29"/>
    <w:sectPr w:rsidR="004E0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3071"/>
    <w:multiLevelType w:val="multilevel"/>
    <w:tmpl w:val="57C6B0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842001"/>
    <w:multiLevelType w:val="multilevel"/>
    <w:tmpl w:val="E904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B23FA4"/>
    <w:multiLevelType w:val="multilevel"/>
    <w:tmpl w:val="5DDACD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29"/>
    <w:rsid w:val="004E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BB6EE"/>
  <w15:chartTrackingRefBased/>
  <w15:docId w15:val="{08FBB8BF-F7B1-A444-A5E2-7E42CDDE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0A2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E0A29"/>
  </w:style>
  <w:style w:type="character" w:customStyle="1" w:styleId="eop">
    <w:name w:val="eop"/>
    <w:basedOn w:val="DefaultParagraphFont"/>
    <w:rsid w:val="004E0A29"/>
  </w:style>
  <w:style w:type="character" w:customStyle="1" w:styleId="scxw247446751">
    <w:name w:val="scxw247446751"/>
    <w:basedOn w:val="DefaultParagraphFont"/>
    <w:rsid w:val="004E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771252">
      <w:bodyDiv w:val="1"/>
      <w:marLeft w:val="0"/>
      <w:marRight w:val="0"/>
      <w:marTop w:val="0"/>
      <w:marBottom w:val="0"/>
      <w:divBdr>
        <w:top w:val="none" w:sz="0" w:space="0" w:color="auto"/>
        <w:left w:val="none" w:sz="0" w:space="0" w:color="auto"/>
        <w:bottom w:val="none" w:sz="0" w:space="0" w:color="auto"/>
        <w:right w:val="none" w:sz="0" w:space="0" w:color="auto"/>
      </w:divBdr>
      <w:divsChild>
        <w:div w:id="405148613">
          <w:marLeft w:val="0"/>
          <w:marRight w:val="0"/>
          <w:marTop w:val="0"/>
          <w:marBottom w:val="0"/>
          <w:divBdr>
            <w:top w:val="none" w:sz="0" w:space="0" w:color="auto"/>
            <w:left w:val="none" w:sz="0" w:space="0" w:color="auto"/>
            <w:bottom w:val="none" w:sz="0" w:space="0" w:color="auto"/>
            <w:right w:val="none" w:sz="0" w:space="0" w:color="auto"/>
          </w:divBdr>
        </w:div>
        <w:div w:id="69886146">
          <w:marLeft w:val="0"/>
          <w:marRight w:val="0"/>
          <w:marTop w:val="0"/>
          <w:marBottom w:val="0"/>
          <w:divBdr>
            <w:top w:val="none" w:sz="0" w:space="0" w:color="auto"/>
            <w:left w:val="none" w:sz="0" w:space="0" w:color="auto"/>
            <w:bottom w:val="none" w:sz="0" w:space="0" w:color="auto"/>
            <w:right w:val="none" w:sz="0" w:space="0" w:color="auto"/>
          </w:divBdr>
        </w:div>
        <w:div w:id="212473971">
          <w:marLeft w:val="0"/>
          <w:marRight w:val="0"/>
          <w:marTop w:val="0"/>
          <w:marBottom w:val="0"/>
          <w:divBdr>
            <w:top w:val="none" w:sz="0" w:space="0" w:color="auto"/>
            <w:left w:val="none" w:sz="0" w:space="0" w:color="auto"/>
            <w:bottom w:val="none" w:sz="0" w:space="0" w:color="auto"/>
            <w:right w:val="none" w:sz="0" w:space="0" w:color="auto"/>
          </w:divBdr>
        </w:div>
        <w:div w:id="184052829">
          <w:marLeft w:val="0"/>
          <w:marRight w:val="0"/>
          <w:marTop w:val="0"/>
          <w:marBottom w:val="0"/>
          <w:divBdr>
            <w:top w:val="none" w:sz="0" w:space="0" w:color="auto"/>
            <w:left w:val="none" w:sz="0" w:space="0" w:color="auto"/>
            <w:bottom w:val="none" w:sz="0" w:space="0" w:color="auto"/>
            <w:right w:val="none" w:sz="0" w:space="0" w:color="auto"/>
          </w:divBdr>
        </w:div>
        <w:div w:id="1211843958">
          <w:marLeft w:val="0"/>
          <w:marRight w:val="0"/>
          <w:marTop w:val="0"/>
          <w:marBottom w:val="0"/>
          <w:divBdr>
            <w:top w:val="none" w:sz="0" w:space="0" w:color="auto"/>
            <w:left w:val="none" w:sz="0" w:space="0" w:color="auto"/>
            <w:bottom w:val="none" w:sz="0" w:space="0" w:color="auto"/>
            <w:right w:val="none" w:sz="0" w:space="0" w:color="auto"/>
          </w:divBdr>
        </w:div>
        <w:div w:id="2086757512">
          <w:marLeft w:val="0"/>
          <w:marRight w:val="0"/>
          <w:marTop w:val="0"/>
          <w:marBottom w:val="0"/>
          <w:divBdr>
            <w:top w:val="none" w:sz="0" w:space="0" w:color="auto"/>
            <w:left w:val="none" w:sz="0" w:space="0" w:color="auto"/>
            <w:bottom w:val="none" w:sz="0" w:space="0" w:color="auto"/>
            <w:right w:val="none" w:sz="0" w:space="0" w:color="auto"/>
          </w:divBdr>
          <w:divsChild>
            <w:div w:id="18970016">
              <w:marLeft w:val="0"/>
              <w:marRight w:val="0"/>
              <w:marTop w:val="0"/>
              <w:marBottom w:val="0"/>
              <w:divBdr>
                <w:top w:val="none" w:sz="0" w:space="0" w:color="auto"/>
                <w:left w:val="none" w:sz="0" w:space="0" w:color="auto"/>
                <w:bottom w:val="none" w:sz="0" w:space="0" w:color="auto"/>
                <w:right w:val="none" w:sz="0" w:space="0" w:color="auto"/>
              </w:divBdr>
            </w:div>
            <w:div w:id="276185656">
              <w:marLeft w:val="0"/>
              <w:marRight w:val="0"/>
              <w:marTop w:val="0"/>
              <w:marBottom w:val="0"/>
              <w:divBdr>
                <w:top w:val="none" w:sz="0" w:space="0" w:color="auto"/>
                <w:left w:val="none" w:sz="0" w:space="0" w:color="auto"/>
                <w:bottom w:val="none" w:sz="0" w:space="0" w:color="auto"/>
                <w:right w:val="none" w:sz="0" w:space="0" w:color="auto"/>
              </w:divBdr>
            </w:div>
            <w:div w:id="1641811461">
              <w:marLeft w:val="0"/>
              <w:marRight w:val="0"/>
              <w:marTop w:val="0"/>
              <w:marBottom w:val="0"/>
              <w:divBdr>
                <w:top w:val="none" w:sz="0" w:space="0" w:color="auto"/>
                <w:left w:val="none" w:sz="0" w:space="0" w:color="auto"/>
                <w:bottom w:val="none" w:sz="0" w:space="0" w:color="auto"/>
                <w:right w:val="none" w:sz="0" w:space="0" w:color="auto"/>
              </w:divBdr>
            </w:div>
            <w:div w:id="1740132384">
              <w:marLeft w:val="0"/>
              <w:marRight w:val="0"/>
              <w:marTop w:val="0"/>
              <w:marBottom w:val="0"/>
              <w:divBdr>
                <w:top w:val="none" w:sz="0" w:space="0" w:color="auto"/>
                <w:left w:val="none" w:sz="0" w:space="0" w:color="auto"/>
                <w:bottom w:val="none" w:sz="0" w:space="0" w:color="auto"/>
                <w:right w:val="none" w:sz="0" w:space="0" w:color="auto"/>
              </w:divBdr>
            </w:div>
            <w:div w:id="17715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27336-0685-4CC3-AF18-13C9FFA20857}"/>
</file>

<file path=customXml/itemProps2.xml><?xml version="1.0" encoding="utf-8"?>
<ds:datastoreItem xmlns:ds="http://schemas.openxmlformats.org/officeDocument/2006/customXml" ds:itemID="{6220A704-25F7-4832-BDF0-63B3F314BAFE}"/>
</file>

<file path=customXml/itemProps3.xml><?xml version="1.0" encoding="utf-8"?>
<ds:datastoreItem xmlns:ds="http://schemas.openxmlformats.org/officeDocument/2006/customXml" ds:itemID="{AF04C65B-3E93-4C20-9168-95EB03262D7C}"/>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Schneiderhan, Meryn N (Geneva)</dc:creator>
  <cp:keywords/>
  <dc:description/>
  <cp:lastModifiedBy>Schneiderhan, Meryn N (Geneva)</cp:lastModifiedBy>
  <cp:revision>1</cp:revision>
  <dcterms:created xsi:type="dcterms:W3CDTF">2021-10-28T14:34:00Z</dcterms:created>
  <dcterms:modified xsi:type="dcterms:W3CDTF">2021-10-28T14:34:00Z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