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F9" w:rsidRPr="00817EDD" w:rsidRDefault="00721BF9" w:rsidP="00721BF9">
      <w:pPr>
        <w:tabs>
          <w:tab w:val="left" w:pos="570"/>
          <w:tab w:val="right" w:pos="8504"/>
        </w:tabs>
        <w:jc w:val="right"/>
        <w:rPr>
          <w:rFonts w:ascii="Arial" w:hAnsi="Arial" w:cs="Arial"/>
          <w:b/>
          <w:i/>
          <w:sz w:val="24"/>
          <w:szCs w:val="24"/>
          <w:lang w:val="en-GB"/>
        </w:rPr>
      </w:pPr>
      <w:r w:rsidRPr="00817EDD">
        <w:rPr>
          <w:rFonts w:ascii="Arial" w:hAnsi="Arial" w:cs="Arial"/>
          <w:b/>
          <w:i/>
          <w:sz w:val="24"/>
          <w:szCs w:val="24"/>
          <w:lang w:val="en-GB"/>
        </w:rPr>
        <w:t>Check against delivery</w:t>
      </w:r>
    </w:p>
    <w:p w:rsidR="00721BF9" w:rsidRPr="00DE466B" w:rsidRDefault="00721BF9" w:rsidP="00721BF9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DE466B">
        <w:rPr>
          <w:rFonts w:ascii="Times New Roman" w:hAnsi="Times New Roman"/>
          <w:b/>
          <w:sz w:val="28"/>
          <w:szCs w:val="28"/>
          <w:lang w:val="en-GB"/>
        </w:rPr>
        <w:t>UNIVERSAL PERIODIC REVIEW (UPR)</w:t>
      </w:r>
    </w:p>
    <w:p w:rsidR="00721BF9" w:rsidRPr="00741B5A" w:rsidRDefault="00721BF9" w:rsidP="00721BF9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proofErr w:type="gramStart"/>
      <w:r w:rsidRPr="00741B5A">
        <w:rPr>
          <w:rFonts w:ascii="Times New Roman" w:hAnsi="Times New Roman"/>
          <w:b/>
          <w:sz w:val="28"/>
          <w:szCs w:val="28"/>
          <w:lang w:val="en-GB"/>
        </w:rPr>
        <w:t>39th</w:t>
      </w:r>
      <w:proofErr w:type="gramEnd"/>
      <w:r w:rsidRPr="00741B5A">
        <w:rPr>
          <w:rFonts w:ascii="Times New Roman" w:hAnsi="Times New Roman"/>
          <w:b/>
          <w:sz w:val="28"/>
          <w:szCs w:val="28"/>
          <w:lang w:val="en-GB"/>
        </w:rPr>
        <w:t xml:space="preserve"> Session – </w:t>
      </w:r>
      <w:r>
        <w:rPr>
          <w:rFonts w:ascii="Times New Roman" w:hAnsi="Times New Roman"/>
          <w:b/>
          <w:sz w:val="28"/>
          <w:szCs w:val="28"/>
          <w:lang w:val="en-GB"/>
        </w:rPr>
        <w:t>Trinidad y Tobago</w:t>
      </w:r>
    </w:p>
    <w:p w:rsidR="00721BF9" w:rsidRDefault="00721BF9" w:rsidP="00803ED3">
      <w:pPr>
        <w:jc w:val="both"/>
        <w:rPr>
          <w:rFonts w:cstheme="minorHAnsi"/>
          <w:sz w:val="24"/>
        </w:rPr>
      </w:pPr>
    </w:p>
    <w:p w:rsidR="00803ED3" w:rsidRPr="00434E53" w:rsidRDefault="00803ED3" w:rsidP="00803ED3">
      <w:pPr>
        <w:jc w:val="both"/>
        <w:rPr>
          <w:rFonts w:cstheme="minorHAnsi"/>
          <w:sz w:val="24"/>
        </w:rPr>
      </w:pPr>
      <w:bookmarkStart w:id="0" w:name="_GoBack"/>
      <w:bookmarkEnd w:id="0"/>
      <w:r w:rsidRPr="00434E53">
        <w:rPr>
          <w:rFonts w:cstheme="minorHAnsi"/>
          <w:sz w:val="24"/>
        </w:rPr>
        <w:t xml:space="preserve">Muchas gracias, Sr. Presidente. </w:t>
      </w:r>
    </w:p>
    <w:p w:rsidR="00803ED3" w:rsidRDefault="00803ED3" w:rsidP="00803ED3">
      <w:pPr>
        <w:jc w:val="both"/>
        <w:rPr>
          <w:sz w:val="24"/>
        </w:rPr>
      </w:pPr>
      <w:r w:rsidRPr="006F5582">
        <w:rPr>
          <w:sz w:val="24"/>
        </w:rPr>
        <w:t xml:space="preserve">España da una cordial bienvenida a la delegación de </w:t>
      </w:r>
      <w:r w:rsidR="00F41E9C">
        <w:rPr>
          <w:sz w:val="24"/>
        </w:rPr>
        <w:t>Trinidad y Tobago</w:t>
      </w:r>
      <w:r w:rsidRPr="006F5582">
        <w:rPr>
          <w:sz w:val="24"/>
        </w:rPr>
        <w:t xml:space="preserve"> y agradece su participación en este ejercicio, así como la presentación realizada por S.E. </w:t>
      </w:r>
    </w:p>
    <w:p w:rsidR="008066F6" w:rsidRDefault="008066F6" w:rsidP="00803ED3">
      <w:pPr>
        <w:jc w:val="both"/>
        <w:rPr>
          <w:sz w:val="24"/>
        </w:rPr>
      </w:pPr>
      <w:r w:rsidRPr="008A1B32">
        <w:rPr>
          <w:sz w:val="24"/>
        </w:rPr>
        <w:t>España quiere comenzar reconociendo la política proactiva por parte de Trinidad y Tobago a favor del reconocimiento y defensa de los derechos humanos</w:t>
      </w:r>
      <w:r>
        <w:rPr>
          <w:sz w:val="24"/>
        </w:rPr>
        <w:t>.</w:t>
      </w:r>
    </w:p>
    <w:p w:rsidR="00803ED3" w:rsidRDefault="00803ED3" w:rsidP="00F07FE6">
      <w:pPr>
        <w:jc w:val="both"/>
        <w:rPr>
          <w:sz w:val="24"/>
        </w:rPr>
      </w:pPr>
      <w:r>
        <w:rPr>
          <w:sz w:val="24"/>
        </w:rPr>
        <w:t xml:space="preserve">Esta delegación reconoce la moratoria </w:t>
      </w:r>
      <w:r>
        <w:rPr>
          <w:i/>
          <w:sz w:val="24"/>
        </w:rPr>
        <w:t>de facto</w:t>
      </w:r>
      <w:r>
        <w:rPr>
          <w:sz w:val="24"/>
        </w:rPr>
        <w:t xml:space="preserve"> en la aplicación de la pena de muerte. Sin embargo, </w:t>
      </w:r>
      <w:r>
        <w:rPr>
          <w:b/>
          <w:sz w:val="24"/>
          <w:szCs w:val="24"/>
        </w:rPr>
        <w:t>recomienda (1</w:t>
      </w:r>
      <w:r w:rsidRPr="006F5582">
        <w:rPr>
          <w:b/>
          <w:sz w:val="24"/>
          <w:szCs w:val="24"/>
        </w:rPr>
        <w:t xml:space="preserve">) </w:t>
      </w:r>
      <w:r w:rsidRPr="006F5582">
        <w:rPr>
          <w:sz w:val="24"/>
          <w:szCs w:val="24"/>
        </w:rPr>
        <w:t>la elaboración de campañas de sensibilización en relación a la ausencia de efectos disuasorios en la aplicación de la pena capital</w:t>
      </w:r>
      <w:r w:rsidR="00662F16">
        <w:rPr>
          <w:sz w:val="24"/>
          <w:szCs w:val="24"/>
        </w:rPr>
        <w:t xml:space="preserve">. Del mismo modo, </w:t>
      </w:r>
      <w:r>
        <w:rPr>
          <w:b/>
          <w:sz w:val="24"/>
          <w:szCs w:val="24"/>
        </w:rPr>
        <w:t>recomienda (2)</w:t>
      </w:r>
      <w:r>
        <w:rPr>
          <w:sz w:val="24"/>
          <w:szCs w:val="24"/>
        </w:rPr>
        <w:t xml:space="preserve"> </w:t>
      </w:r>
      <w:r w:rsidR="00F07FE6">
        <w:rPr>
          <w:sz w:val="24"/>
        </w:rPr>
        <w:t xml:space="preserve">establecer una moratoria </w:t>
      </w:r>
      <w:r w:rsidR="00F07FE6">
        <w:rPr>
          <w:i/>
          <w:sz w:val="24"/>
        </w:rPr>
        <w:t xml:space="preserve">de </w:t>
      </w:r>
      <w:r w:rsidR="00F07FE6" w:rsidRPr="00F07FE6">
        <w:rPr>
          <w:i/>
          <w:sz w:val="24"/>
        </w:rPr>
        <w:t>iure</w:t>
      </w:r>
      <w:r w:rsidR="00F07FE6">
        <w:rPr>
          <w:sz w:val="24"/>
        </w:rPr>
        <w:t xml:space="preserve"> </w:t>
      </w:r>
      <w:r w:rsidR="00F07FE6" w:rsidRPr="008A1B32">
        <w:rPr>
          <w:sz w:val="24"/>
        </w:rPr>
        <w:t xml:space="preserve">en </w:t>
      </w:r>
      <w:r w:rsidR="00F07FE6">
        <w:rPr>
          <w:sz w:val="24"/>
        </w:rPr>
        <w:t>la aplicación de la pena de muerte</w:t>
      </w:r>
      <w:r w:rsidR="00F07FE6" w:rsidRPr="008A1B32">
        <w:rPr>
          <w:sz w:val="24"/>
        </w:rPr>
        <w:t xml:space="preserve"> que eventualmente conduzca a su supresión de la legislación</w:t>
      </w:r>
      <w:r w:rsidR="0014209F">
        <w:rPr>
          <w:sz w:val="24"/>
        </w:rPr>
        <w:t>,</w:t>
      </w:r>
      <w:r w:rsidR="00F07FE6">
        <w:rPr>
          <w:sz w:val="24"/>
        </w:rPr>
        <w:t xml:space="preserve"> </w:t>
      </w:r>
      <w:r w:rsidR="00662F16">
        <w:rPr>
          <w:sz w:val="24"/>
        </w:rPr>
        <w:t>así como</w:t>
      </w:r>
      <w:r w:rsidRPr="00C854EF">
        <w:rPr>
          <w:sz w:val="24"/>
        </w:rPr>
        <w:t xml:space="preserve"> ratificar el Segundo Protocolo Facultativo del Pacto Internacional </w:t>
      </w:r>
      <w:r w:rsidR="00D07BC0">
        <w:rPr>
          <w:sz w:val="24"/>
        </w:rPr>
        <w:t>de Derechos Civiles y Políticos</w:t>
      </w:r>
      <w:r w:rsidR="00F07FE6">
        <w:rPr>
          <w:sz w:val="24"/>
        </w:rPr>
        <w:t>.</w:t>
      </w:r>
    </w:p>
    <w:p w:rsidR="00F07FE6" w:rsidRDefault="009A373B" w:rsidP="00F07FE6">
      <w:pPr>
        <w:jc w:val="both"/>
        <w:rPr>
          <w:sz w:val="24"/>
        </w:rPr>
      </w:pPr>
      <w:r>
        <w:rPr>
          <w:sz w:val="24"/>
        </w:rPr>
        <w:t xml:space="preserve">España quiere felicitar a Trinidad y Tobago por sus avances legislativos para erradicar la violencia de género, así como la creación de la unidad específica GBVU. Animando a seguir en esta línea, esta delegación </w:t>
      </w:r>
      <w:r>
        <w:rPr>
          <w:b/>
          <w:sz w:val="24"/>
        </w:rPr>
        <w:t>recomienda (3)</w:t>
      </w:r>
      <w:r w:rsidR="0076779D">
        <w:rPr>
          <w:sz w:val="24"/>
        </w:rPr>
        <w:t xml:space="preserve"> llevar a cabo una Política Nacional de Género y un Plan de Acción dotado de recursos suficientes para luchar contra la violencia sexual y de género.</w:t>
      </w:r>
    </w:p>
    <w:p w:rsidR="006F1DEC" w:rsidRDefault="006F1DEC" w:rsidP="00F07FE6">
      <w:pPr>
        <w:jc w:val="both"/>
        <w:rPr>
          <w:sz w:val="24"/>
        </w:rPr>
      </w:pPr>
      <w:r>
        <w:rPr>
          <w:sz w:val="24"/>
        </w:rPr>
        <w:t xml:space="preserve">España insta a continuar en el avance en los derechos de las mujeres y </w:t>
      </w:r>
      <w:r>
        <w:rPr>
          <w:b/>
          <w:sz w:val="24"/>
        </w:rPr>
        <w:t>recomienda (4)</w:t>
      </w:r>
      <w:r>
        <w:rPr>
          <w:sz w:val="24"/>
        </w:rPr>
        <w:t xml:space="preserve"> a Trinidad y Tobago que considere la posibilidad de reformar la Ley de Delitos contra la Persona legalizando el aborto en casos </w:t>
      </w:r>
      <w:r w:rsidRPr="005A4D9F">
        <w:rPr>
          <w:sz w:val="24"/>
        </w:rPr>
        <w:t>de violación, incesto y malformación fetal grave y despenaliz</w:t>
      </w:r>
      <w:r w:rsidR="000B5D6A">
        <w:rPr>
          <w:sz w:val="24"/>
        </w:rPr>
        <w:t>ándolo</w:t>
      </w:r>
      <w:r>
        <w:rPr>
          <w:sz w:val="24"/>
        </w:rPr>
        <w:t xml:space="preserve"> </w:t>
      </w:r>
      <w:r w:rsidRPr="005A4D9F">
        <w:rPr>
          <w:sz w:val="24"/>
        </w:rPr>
        <w:t xml:space="preserve">en todos los demás </w:t>
      </w:r>
      <w:r>
        <w:rPr>
          <w:sz w:val="24"/>
        </w:rPr>
        <w:t>supuestos.</w:t>
      </w:r>
    </w:p>
    <w:p w:rsidR="006F1DEC" w:rsidRPr="006F1DEC" w:rsidRDefault="006F1DEC" w:rsidP="00F07FE6">
      <w:pPr>
        <w:jc w:val="both"/>
        <w:rPr>
          <w:sz w:val="24"/>
        </w:rPr>
      </w:pPr>
      <w:r>
        <w:rPr>
          <w:sz w:val="24"/>
        </w:rPr>
        <w:t xml:space="preserve">Asimismo, esta delegación acoge las medidas tendentes a mejorar la protección de las personas con discapacidades y </w:t>
      </w:r>
      <w:r>
        <w:rPr>
          <w:b/>
          <w:sz w:val="24"/>
        </w:rPr>
        <w:t>recomienda (5)</w:t>
      </w:r>
      <w:r>
        <w:rPr>
          <w:sz w:val="24"/>
        </w:rPr>
        <w:t xml:space="preserve"> proseguir en esta mejora tanto en su marco legal como en la asistencia social y la dotación de recursos para mejorar la accesibilidad en todos los ámbitos.</w:t>
      </w:r>
    </w:p>
    <w:p w:rsidR="0014209F" w:rsidRPr="00DF58C7" w:rsidRDefault="0014209F" w:rsidP="0014209F">
      <w:pPr>
        <w:jc w:val="both"/>
        <w:rPr>
          <w:rFonts w:cstheme="minorHAnsi"/>
          <w:b/>
          <w:sz w:val="24"/>
          <w:u w:val="single"/>
        </w:rPr>
      </w:pPr>
    </w:p>
    <w:sectPr w:rsidR="0014209F" w:rsidRPr="00DF58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4D" w:rsidRDefault="0031724D">
      <w:pPr>
        <w:spacing w:after="0" w:line="240" w:lineRule="auto"/>
      </w:pPr>
      <w:r>
        <w:separator/>
      </w:r>
    </w:p>
  </w:endnote>
  <w:endnote w:type="continuationSeparator" w:id="0">
    <w:p w:rsidR="0031724D" w:rsidRDefault="0031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4D" w:rsidRDefault="0031724D">
      <w:pPr>
        <w:spacing w:after="0" w:line="240" w:lineRule="auto"/>
      </w:pPr>
      <w:r>
        <w:separator/>
      </w:r>
    </w:p>
  </w:footnote>
  <w:footnote w:type="continuationSeparator" w:id="0">
    <w:p w:rsidR="0031724D" w:rsidRDefault="00317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C7" w:rsidRDefault="00DF58C7" w:rsidP="00DF58C7">
    <w:pPr>
      <w:pStyle w:val="Encabezado"/>
    </w:pPr>
    <w:r w:rsidRPr="00DE466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7673B0E" wp14:editId="6E514FA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466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93253" wp14:editId="1EBC7BC9">
              <wp:simplePos x="0" y="0"/>
              <wp:positionH relativeFrom="column">
                <wp:posOffset>1081405</wp:posOffset>
              </wp:positionH>
              <wp:positionV relativeFrom="paragraph">
                <wp:posOffset>334010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C7" w:rsidRPr="00A872D4" w:rsidRDefault="00DF58C7" w:rsidP="00DF58C7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A872D4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DF58C7" w:rsidRPr="00A872D4" w:rsidRDefault="00DF58C7" w:rsidP="00DF58C7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A872D4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DF58C7" w:rsidRPr="00583425" w:rsidRDefault="00DF58C7" w:rsidP="00DF58C7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932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15pt;margin-top:26.3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VN2K&#10;JN0AAAAKAQAADwAAAAAAAAAAAAAAAADbBAAAZHJzL2Rvd25yZXYueG1sUEsFBgAAAAAEAAQA8wAA&#10;AOUFAAAAAA==&#10;" stroked="f">
              <v:textbox>
                <w:txbxContent>
                  <w:p w:rsidR="00DF58C7" w:rsidRPr="00A872D4" w:rsidRDefault="00DF58C7" w:rsidP="00DF58C7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A872D4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DF58C7" w:rsidRPr="00A872D4" w:rsidRDefault="00DF58C7" w:rsidP="00DF58C7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A872D4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DF58C7" w:rsidRPr="00583425" w:rsidRDefault="00DF58C7" w:rsidP="00DF58C7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</w:p>
  <w:p w:rsidR="00DF58C7" w:rsidRDefault="00DF58C7" w:rsidP="00DF58C7">
    <w:pPr>
      <w:pStyle w:val="Encabezado"/>
    </w:pPr>
  </w:p>
  <w:p w:rsidR="00DF58C7" w:rsidRDefault="00DF58C7" w:rsidP="00DF58C7">
    <w:pPr>
      <w:pStyle w:val="Encabezado"/>
    </w:pPr>
  </w:p>
  <w:p w:rsidR="00DF58C7" w:rsidRDefault="00DF58C7" w:rsidP="00DF58C7">
    <w:pPr>
      <w:pStyle w:val="Encabezado"/>
    </w:pPr>
  </w:p>
  <w:p w:rsidR="00DF58C7" w:rsidRDefault="00DF58C7" w:rsidP="00DF58C7">
    <w:pPr>
      <w:pStyle w:val="Encabezado"/>
    </w:pPr>
  </w:p>
  <w:p w:rsidR="00DF58C7" w:rsidRDefault="00DF58C7" w:rsidP="00DF58C7">
    <w:pPr>
      <w:pStyle w:val="Encabezado"/>
    </w:pPr>
  </w:p>
  <w:p w:rsidR="00DF58C7" w:rsidRPr="00741B5A" w:rsidRDefault="00DF58C7" w:rsidP="00DF58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5BD0"/>
    <w:multiLevelType w:val="hybridMultilevel"/>
    <w:tmpl w:val="91EA6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DD3"/>
    <w:multiLevelType w:val="hybridMultilevel"/>
    <w:tmpl w:val="D43A5416"/>
    <w:lvl w:ilvl="0" w:tplc="0C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6AFD4BBB"/>
    <w:multiLevelType w:val="hybridMultilevel"/>
    <w:tmpl w:val="0A303430"/>
    <w:lvl w:ilvl="0" w:tplc="0C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5C"/>
    <w:rsid w:val="000B5D6A"/>
    <w:rsid w:val="0014209F"/>
    <w:rsid w:val="00272657"/>
    <w:rsid w:val="0031724D"/>
    <w:rsid w:val="003F175C"/>
    <w:rsid w:val="004650A2"/>
    <w:rsid w:val="004777D4"/>
    <w:rsid w:val="00662F16"/>
    <w:rsid w:val="006A52C4"/>
    <w:rsid w:val="006F1DEC"/>
    <w:rsid w:val="00721BF9"/>
    <w:rsid w:val="0076779D"/>
    <w:rsid w:val="00786110"/>
    <w:rsid w:val="00803ED3"/>
    <w:rsid w:val="008066F6"/>
    <w:rsid w:val="009A2045"/>
    <w:rsid w:val="009A373B"/>
    <w:rsid w:val="00A141B5"/>
    <w:rsid w:val="00AC654D"/>
    <w:rsid w:val="00D065A1"/>
    <w:rsid w:val="00D07BC0"/>
    <w:rsid w:val="00DF1B38"/>
    <w:rsid w:val="00DF58C7"/>
    <w:rsid w:val="00E9543F"/>
    <w:rsid w:val="00F07FE6"/>
    <w:rsid w:val="00F4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2CA3"/>
  <w15:chartTrackingRefBased/>
  <w15:docId w15:val="{E88F1ECB-3FAF-4B1E-8760-140C3A4F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E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E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3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ED3"/>
  </w:style>
  <w:style w:type="paragraph" w:styleId="Piedepgina">
    <w:name w:val="footer"/>
    <w:basedOn w:val="Normal"/>
    <w:link w:val="PiedepginaCar"/>
    <w:uiPriority w:val="99"/>
    <w:unhideWhenUsed/>
    <w:rsid w:val="00DF5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C18CF4-CE1C-4551-AE27-B74F7B67A073}"/>
</file>

<file path=customXml/itemProps2.xml><?xml version="1.0" encoding="utf-8"?>
<ds:datastoreItem xmlns:ds="http://schemas.openxmlformats.org/officeDocument/2006/customXml" ds:itemID="{5E11D831-E736-4AFC-AC25-D6C06FFE2AE8}"/>
</file>

<file path=customXml/itemProps3.xml><?xml version="1.0" encoding="utf-8"?>
<ds:datastoreItem xmlns:ds="http://schemas.openxmlformats.org/officeDocument/2006/customXml" ds:itemID="{12B9ADD9-E54C-4512-8ADA-E86F79A83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Gradillas, Miguel</dc:creator>
  <cp:keywords/>
  <dc:description/>
  <cp:lastModifiedBy>Espinosa Martí, Josefina</cp:lastModifiedBy>
  <cp:revision>2</cp:revision>
  <dcterms:created xsi:type="dcterms:W3CDTF">2021-11-05T10:42:00Z</dcterms:created>
  <dcterms:modified xsi:type="dcterms:W3CDTF">2021-11-05T10:42:00Z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