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AA" w:rsidRDefault="001603AA" w:rsidP="001603AA">
      <w:pPr>
        <w:jc w:val="both"/>
      </w:pPr>
    </w:p>
    <w:p w:rsidR="001603AA" w:rsidRPr="001603AA" w:rsidRDefault="001603AA" w:rsidP="001603AA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56"/>
          <w:szCs w:val="56"/>
        </w:rPr>
      </w:pPr>
      <w:r w:rsidRPr="001603AA">
        <w:rPr>
          <w:rFonts w:ascii="Arial" w:eastAsiaTheme="minorEastAsia" w:hAnsi="Arial" w:cs="Arial"/>
          <w:b/>
          <w:color w:val="000000" w:themeColor="text1"/>
          <w:sz w:val="56"/>
          <w:szCs w:val="56"/>
        </w:rPr>
        <w:t>GEORGIA</w:t>
      </w:r>
    </w:p>
    <w:p w:rsidR="001603AA" w:rsidRPr="001603AA" w:rsidRDefault="001603AA" w:rsidP="001603AA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</w:p>
    <w:p w:rsidR="001603AA" w:rsidRPr="001603AA" w:rsidRDefault="001603AA" w:rsidP="001603AA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THE 38</w:t>
      </w: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SESSION OF THE UPR WORKING GROUP</w:t>
      </w:r>
    </w:p>
    <w:p w:rsidR="001603AA" w:rsidRPr="001603AA" w:rsidRDefault="001603AA" w:rsidP="001603AA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UPR OF </w:t>
      </w:r>
      <w:r w:rsidR="009641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SOMALIA</w:t>
      </w:r>
    </w:p>
    <w:p w:rsidR="001603AA" w:rsidRPr="001603AA" w:rsidRDefault="001603AA" w:rsidP="001603AA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</w:p>
    <w:p w:rsidR="001603AA" w:rsidRPr="001603AA" w:rsidRDefault="001603AA" w:rsidP="001603AA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Geneva, </w:t>
      </w:r>
      <w:r w:rsidR="007A68E0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6</w:t>
      </w: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May 2021</w:t>
      </w:r>
    </w:p>
    <w:p w:rsidR="001603AA" w:rsidRPr="001603AA" w:rsidRDefault="001603AA" w:rsidP="001603AA">
      <w:pPr>
        <w:spacing w:after="0" w:line="240" w:lineRule="auto"/>
        <w:jc w:val="both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</w:p>
    <w:p w:rsidR="001603AA" w:rsidRPr="001603AA" w:rsidRDefault="001603AA" w:rsidP="001603AA">
      <w:pPr>
        <w:spacing w:after="0" w:line="240" w:lineRule="auto"/>
        <w:jc w:val="both"/>
        <w:rPr>
          <w:rFonts w:ascii="Sylfaen" w:eastAsiaTheme="minorEastAsia" w:hAnsi="Sylfaen" w:cs="Arial"/>
          <w:color w:val="000000" w:themeColor="text1"/>
          <w:sz w:val="24"/>
          <w:szCs w:val="24"/>
        </w:rPr>
      </w:pPr>
    </w:p>
    <w:p w:rsidR="001603AA" w:rsidRPr="007A68E0" w:rsidRDefault="001603AA" w:rsidP="001603AA">
      <w:pPr>
        <w:spacing w:after="0" w:line="240" w:lineRule="auto"/>
        <w:jc w:val="both"/>
        <w:rPr>
          <w:rFonts w:ascii="Sylfaen" w:eastAsiaTheme="minorEastAsia" w:hAnsi="Sylfaen" w:cs="Arial"/>
          <w:color w:val="000000" w:themeColor="text1"/>
          <w:sz w:val="24"/>
          <w:szCs w:val="24"/>
        </w:rPr>
      </w:pPr>
      <w:r w:rsidRPr="001603AA">
        <w:rPr>
          <w:rFonts w:ascii="Sylfaen" w:eastAsiaTheme="minorEastAsia" w:hAnsi="Sylfaen" w:cs="Arial"/>
          <w:color w:val="000000" w:themeColor="text1"/>
          <w:sz w:val="24"/>
          <w:szCs w:val="24"/>
        </w:rPr>
        <w:t xml:space="preserve">Georgia warmly welcomes the Delegation of </w:t>
      </w:r>
      <w:r w:rsidR="00552436" w:rsidRPr="007A68E0">
        <w:rPr>
          <w:rFonts w:ascii="Sylfaen" w:eastAsiaTheme="minorEastAsia" w:hAnsi="Sylfaen" w:cs="Arial"/>
          <w:color w:val="000000" w:themeColor="text1"/>
          <w:sz w:val="24"/>
          <w:szCs w:val="24"/>
        </w:rPr>
        <w:t>Somalia</w:t>
      </w:r>
      <w:r w:rsidRPr="001603AA">
        <w:rPr>
          <w:rFonts w:ascii="Sylfaen" w:eastAsiaTheme="minorEastAsia" w:hAnsi="Sylfaen" w:cs="Arial"/>
          <w:color w:val="000000" w:themeColor="text1"/>
          <w:sz w:val="24"/>
          <w:szCs w:val="24"/>
        </w:rPr>
        <w:t xml:space="preserve"> and thanks the head of the Delegation for the presentation of the national report.</w:t>
      </w:r>
    </w:p>
    <w:p w:rsidR="00552436" w:rsidRPr="007A68E0" w:rsidRDefault="00552436" w:rsidP="001603AA">
      <w:pPr>
        <w:spacing w:after="0" w:line="240" w:lineRule="auto"/>
        <w:jc w:val="both"/>
        <w:rPr>
          <w:rFonts w:ascii="Sylfaen" w:eastAsiaTheme="minorEastAsia" w:hAnsi="Sylfaen" w:cs="Arial"/>
          <w:color w:val="000000" w:themeColor="text1"/>
          <w:sz w:val="24"/>
          <w:szCs w:val="24"/>
        </w:rPr>
      </w:pPr>
    </w:p>
    <w:p w:rsidR="00552436" w:rsidRPr="007A68E0" w:rsidRDefault="00552436" w:rsidP="001603AA">
      <w:pPr>
        <w:spacing w:after="0" w:line="240" w:lineRule="auto"/>
        <w:jc w:val="both"/>
        <w:rPr>
          <w:rFonts w:ascii="Sylfaen" w:eastAsiaTheme="minorEastAsia" w:hAnsi="Sylfaen" w:cs="Arial"/>
          <w:color w:val="000000" w:themeColor="text1"/>
          <w:sz w:val="24"/>
          <w:szCs w:val="24"/>
        </w:rPr>
      </w:pPr>
      <w:r w:rsidRPr="007A68E0">
        <w:rPr>
          <w:rFonts w:ascii="Sylfaen" w:eastAsiaTheme="minorEastAsia" w:hAnsi="Sylfaen" w:cs="Arial"/>
          <w:color w:val="000000" w:themeColor="text1"/>
          <w:sz w:val="24"/>
          <w:szCs w:val="24"/>
        </w:rPr>
        <w:t>We appreciate the progress achieved during this review cycle, as well as the acknowledgment by the government of existing challenges and efforts to address them. (National 2).</w:t>
      </w:r>
    </w:p>
    <w:p w:rsidR="002B7302" w:rsidRPr="007A68E0" w:rsidRDefault="002B7302" w:rsidP="001603AA">
      <w:pPr>
        <w:spacing w:after="0" w:line="240" w:lineRule="auto"/>
        <w:jc w:val="both"/>
        <w:rPr>
          <w:rFonts w:ascii="Sylfaen" w:eastAsiaTheme="minorEastAsia" w:hAnsi="Sylfaen" w:cs="Arial"/>
          <w:color w:val="000000" w:themeColor="text1"/>
          <w:sz w:val="24"/>
          <w:szCs w:val="24"/>
        </w:rPr>
      </w:pPr>
    </w:p>
    <w:p w:rsidR="002B7302" w:rsidRPr="007A68E0" w:rsidRDefault="002B7302" w:rsidP="001603AA">
      <w:pPr>
        <w:spacing w:after="0" w:line="240" w:lineRule="auto"/>
        <w:jc w:val="both"/>
        <w:rPr>
          <w:rFonts w:ascii="Sylfaen" w:eastAsiaTheme="minorEastAsia" w:hAnsi="Sylfaen" w:cs="Arial"/>
          <w:color w:val="000000" w:themeColor="text1"/>
          <w:sz w:val="24"/>
          <w:szCs w:val="24"/>
        </w:rPr>
      </w:pPr>
      <w:r w:rsidRPr="007A68E0">
        <w:rPr>
          <w:rFonts w:ascii="Sylfaen" w:eastAsiaTheme="minorEastAsia" w:hAnsi="Sylfaen" w:cs="Arial"/>
          <w:color w:val="000000" w:themeColor="text1"/>
          <w:sz w:val="24"/>
          <w:szCs w:val="24"/>
        </w:rPr>
        <w:t>We also acknowledge the progress related to the establishment of the national human rights commission.</w:t>
      </w:r>
    </w:p>
    <w:p w:rsidR="00552436" w:rsidRPr="007A68E0" w:rsidRDefault="00552436" w:rsidP="001603AA">
      <w:pPr>
        <w:spacing w:after="0" w:line="240" w:lineRule="auto"/>
        <w:jc w:val="both"/>
        <w:rPr>
          <w:rFonts w:ascii="Sylfaen" w:eastAsiaTheme="minorEastAsia" w:hAnsi="Sylfaen" w:cs="Arial"/>
          <w:color w:val="000000" w:themeColor="text1"/>
          <w:sz w:val="24"/>
          <w:szCs w:val="24"/>
        </w:rPr>
      </w:pPr>
    </w:p>
    <w:p w:rsidR="002B7302" w:rsidRPr="007A68E0" w:rsidRDefault="00552436" w:rsidP="001603AA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A68E0">
        <w:rPr>
          <w:rFonts w:ascii="Sylfaen" w:eastAsiaTheme="minorEastAsia" w:hAnsi="Sylfaen" w:cs="Arial"/>
          <w:color w:val="000000" w:themeColor="text1"/>
          <w:sz w:val="24"/>
          <w:szCs w:val="24"/>
        </w:rPr>
        <w:t xml:space="preserve">Georgia welcomes the fact that within the reporting period, FGS has ratified </w:t>
      </w:r>
      <w:r w:rsidRPr="007A68E0">
        <w:rPr>
          <w:rFonts w:ascii="Sylfaen" w:hAnsi="Sylfaen"/>
          <w:color w:val="000000" w:themeColor="text1"/>
          <w:sz w:val="24"/>
          <w:szCs w:val="24"/>
        </w:rPr>
        <w:t>the Convention on the Righ</w:t>
      </w:r>
      <w:r w:rsidR="009641AA" w:rsidRPr="007A68E0">
        <w:rPr>
          <w:rFonts w:ascii="Sylfaen" w:hAnsi="Sylfaen"/>
          <w:color w:val="000000" w:themeColor="text1"/>
          <w:sz w:val="24"/>
          <w:szCs w:val="24"/>
        </w:rPr>
        <w:t>ts of Persons with Disabilities and</w:t>
      </w:r>
      <w:r w:rsidR="002B7302" w:rsidRPr="007A68E0">
        <w:rPr>
          <w:rFonts w:ascii="Sylfaen" w:hAnsi="Sylfaen"/>
          <w:color w:val="000000" w:themeColor="text1"/>
          <w:sz w:val="24"/>
          <w:szCs w:val="24"/>
        </w:rPr>
        <w:t xml:space="preserve"> UNESCO Convention Concerning the Protection of the World Cultural and Natural Heritage and Convention for the Safeguarding of t</w:t>
      </w:r>
      <w:r w:rsidR="00901015">
        <w:rPr>
          <w:rFonts w:ascii="Sylfaen" w:hAnsi="Sylfaen"/>
          <w:color w:val="000000" w:themeColor="text1"/>
          <w:sz w:val="24"/>
          <w:szCs w:val="24"/>
        </w:rPr>
        <w:t>he Intangible Cultural Heritage.</w:t>
      </w:r>
    </w:p>
    <w:p w:rsidR="002B7302" w:rsidRPr="007A68E0" w:rsidRDefault="002B7302" w:rsidP="001603AA">
      <w:pPr>
        <w:spacing w:after="0" w:line="240" w:lineRule="auto"/>
        <w:jc w:val="both"/>
        <w:rPr>
          <w:color w:val="000000" w:themeColor="text1"/>
        </w:rPr>
      </w:pPr>
    </w:p>
    <w:p w:rsidR="00552436" w:rsidRPr="007A68E0" w:rsidRDefault="002B7302" w:rsidP="001603AA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A68E0">
        <w:rPr>
          <w:rFonts w:ascii="Sylfaen" w:hAnsi="Sylfaen"/>
          <w:color w:val="000000" w:themeColor="text1"/>
          <w:sz w:val="24"/>
          <w:szCs w:val="24"/>
        </w:rPr>
        <w:t>My delegation</w:t>
      </w:r>
      <w:r w:rsidRPr="007A68E0">
        <w:rPr>
          <w:color w:val="000000" w:themeColor="text1"/>
        </w:rPr>
        <w:t xml:space="preserve"> </w:t>
      </w:r>
      <w:r w:rsidR="009641AA" w:rsidRPr="007A68E0">
        <w:rPr>
          <w:rFonts w:ascii="Sylfaen" w:hAnsi="Sylfaen"/>
          <w:color w:val="000000" w:themeColor="text1"/>
          <w:sz w:val="24"/>
          <w:szCs w:val="24"/>
        </w:rPr>
        <w:t>notes with satisfaction the consultations</w:t>
      </w:r>
      <w:r w:rsidRPr="007A68E0">
        <w:rPr>
          <w:rFonts w:ascii="Sylfaen" w:hAnsi="Sylfaen"/>
          <w:color w:val="000000" w:themeColor="text1"/>
          <w:sz w:val="24"/>
          <w:szCs w:val="24"/>
        </w:rPr>
        <w:t xml:space="preserve"> conducted</w:t>
      </w:r>
      <w:r w:rsidR="009641AA" w:rsidRPr="007A68E0">
        <w:rPr>
          <w:rFonts w:ascii="Sylfaen" w:hAnsi="Sylfaen"/>
          <w:color w:val="000000" w:themeColor="text1"/>
          <w:sz w:val="24"/>
          <w:szCs w:val="24"/>
        </w:rPr>
        <w:t xml:space="preserve"> with stakeholders related to the ratification of the Convention on the Elimination of Discrimination against Women (</w:t>
      </w:r>
      <w:r w:rsidR="00901015">
        <w:rPr>
          <w:rFonts w:ascii="Sylfaen" w:hAnsi="Sylfaen"/>
          <w:color w:val="000000" w:themeColor="text1"/>
          <w:sz w:val="24"/>
          <w:szCs w:val="24"/>
        </w:rPr>
        <w:t>CEDAW).</w:t>
      </w:r>
    </w:p>
    <w:p w:rsidR="00CA21B8" w:rsidRPr="007A68E0" w:rsidRDefault="00CA21B8" w:rsidP="001603AA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CA21B8" w:rsidRPr="007A68E0" w:rsidRDefault="00CA21B8" w:rsidP="001603AA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A68E0">
        <w:rPr>
          <w:rFonts w:ascii="Sylfaen" w:hAnsi="Sylfaen"/>
          <w:color w:val="000000" w:themeColor="text1"/>
          <w:sz w:val="24"/>
          <w:szCs w:val="24"/>
        </w:rPr>
        <w:t>With this Georgia recommends to Somalia:</w:t>
      </w:r>
    </w:p>
    <w:p w:rsidR="00CA21B8" w:rsidRPr="007A68E0" w:rsidRDefault="00CA21B8" w:rsidP="001603AA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CA21B8" w:rsidRPr="007A68E0" w:rsidRDefault="00CA21B8" w:rsidP="00CA21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A68E0">
        <w:rPr>
          <w:rFonts w:ascii="Sylfaen" w:hAnsi="Sylfaen"/>
          <w:color w:val="000000" w:themeColor="text1"/>
          <w:sz w:val="24"/>
          <w:szCs w:val="24"/>
        </w:rPr>
        <w:t xml:space="preserve">To </w:t>
      </w:r>
      <w:r w:rsidR="007A68E0" w:rsidRPr="007A68E0">
        <w:rPr>
          <w:rFonts w:ascii="Sylfaen" w:hAnsi="Sylfaen"/>
          <w:color w:val="000000" w:themeColor="text1"/>
          <w:sz w:val="24"/>
          <w:szCs w:val="24"/>
        </w:rPr>
        <w:t>conduct further steps towards the ratific</w:t>
      </w:r>
      <w:r w:rsidR="00901015">
        <w:rPr>
          <w:rFonts w:ascii="Sylfaen" w:hAnsi="Sylfaen"/>
          <w:color w:val="000000" w:themeColor="text1"/>
          <w:sz w:val="24"/>
          <w:szCs w:val="24"/>
        </w:rPr>
        <w:t>ation of the CEDAW</w:t>
      </w:r>
      <w:bookmarkStart w:id="0" w:name="_GoBack"/>
      <w:bookmarkEnd w:id="0"/>
      <w:r w:rsidR="007A68E0" w:rsidRPr="007A68E0">
        <w:rPr>
          <w:rFonts w:ascii="Sylfaen" w:hAnsi="Sylfaen"/>
          <w:color w:val="000000" w:themeColor="text1"/>
          <w:sz w:val="24"/>
          <w:szCs w:val="24"/>
        </w:rPr>
        <w:t>;</w:t>
      </w:r>
    </w:p>
    <w:p w:rsidR="007A68E0" w:rsidRPr="007A68E0" w:rsidRDefault="007A68E0" w:rsidP="007A68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A68E0">
        <w:rPr>
          <w:rFonts w:ascii="Sylfaen" w:hAnsi="Sylfaen"/>
          <w:color w:val="000000" w:themeColor="text1"/>
          <w:sz w:val="24"/>
          <w:szCs w:val="24"/>
        </w:rPr>
        <w:t xml:space="preserve">To reinvigorate process of the establishing of the </w:t>
      </w:r>
      <w:r w:rsidRPr="007A68E0">
        <w:rPr>
          <w:rFonts w:ascii="Sylfaen" w:eastAsiaTheme="minorEastAsia" w:hAnsi="Sylfaen" w:cs="Arial"/>
          <w:color w:val="000000" w:themeColor="text1"/>
          <w:sz w:val="24"/>
          <w:szCs w:val="24"/>
        </w:rPr>
        <w:t>national human rig</w:t>
      </w:r>
      <w:r w:rsidR="00901015">
        <w:rPr>
          <w:rFonts w:ascii="Sylfaen" w:eastAsiaTheme="minorEastAsia" w:hAnsi="Sylfaen" w:cs="Arial"/>
          <w:color w:val="000000" w:themeColor="text1"/>
          <w:sz w:val="24"/>
          <w:szCs w:val="24"/>
        </w:rPr>
        <w:t>hts commission</w:t>
      </w:r>
      <w:r w:rsidRPr="007A68E0">
        <w:rPr>
          <w:rFonts w:ascii="Sylfaen" w:eastAsiaTheme="minorEastAsia" w:hAnsi="Sylfaen" w:cs="Arial"/>
          <w:color w:val="000000" w:themeColor="text1"/>
          <w:sz w:val="24"/>
          <w:szCs w:val="24"/>
        </w:rPr>
        <w:t>.</w:t>
      </w:r>
    </w:p>
    <w:p w:rsidR="009641AA" w:rsidRDefault="009641AA" w:rsidP="001603AA">
      <w:pPr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</w:p>
    <w:p w:rsidR="009641AA" w:rsidRPr="001603AA" w:rsidRDefault="009641AA" w:rsidP="001603AA">
      <w:pPr>
        <w:spacing w:after="0" w:line="240" w:lineRule="auto"/>
        <w:jc w:val="both"/>
        <w:rPr>
          <w:rFonts w:ascii="Sylfaen" w:eastAsiaTheme="minorEastAsia" w:hAnsi="Sylfaen" w:cs="Arial"/>
          <w:color w:val="FF0000"/>
          <w:sz w:val="24"/>
          <w:szCs w:val="24"/>
        </w:rPr>
      </w:pPr>
    </w:p>
    <w:p w:rsidR="001603AA" w:rsidRDefault="001603AA" w:rsidP="001603AA">
      <w:pPr>
        <w:jc w:val="both"/>
      </w:pPr>
    </w:p>
    <w:p w:rsidR="001603AA" w:rsidRDefault="001603AA" w:rsidP="001603AA">
      <w:pPr>
        <w:jc w:val="both"/>
      </w:pPr>
    </w:p>
    <w:p w:rsidR="001603AA" w:rsidRDefault="001603AA" w:rsidP="001603AA">
      <w:pPr>
        <w:jc w:val="both"/>
      </w:pPr>
    </w:p>
    <w:sectPr w:rsidR="00160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25439"/>
    <w:multiLevelType w:val="hybridMultilevel"/>
    <w:tmpl w:val="A7BA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AA"/>
    <w:rsid w:val="000E18E2"/>
    <w:rsid w:val="001603AA"/>
    <w:rsid w:val="002B7302"/>
    <w:rsid w:val="00552436"/>
    <w:rsid w:val="007A68E0"/>
    <w:rsid w:val="00901015"/>
    <w:rsid w:val="009641AA"/>
    <w:rsid w:val="00CA21B8"/>
    <w:rsid w:val="00DC5BF7"/>
    <w:rsid w:val="00F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DEA0"/>
  <w15:chartTrackingRefBased/>
  <w15:docId w15:val="{AD0A5C37-A407-4E0B-B578-F6FDAEF2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45684-CDCE-4EBA-B627-FE2B88CF8218}"/>
</file>

<file path=customXml/itemProps2.xml><?xml version="1.0" encoding="utf-8"?>
<ds:datastoreItem xmlns:ds="http://schemas.openxmlformats.org/officeDocument/2006/customXml" ds:itemID="{C9744440-C72B-4CB0-A03C-B259259D71D4}"/>
</file>

<file path=customXml/itemProps3.xml><?xml version="1.0" encoding="utf-8"?>
<ds:datastoreItem xmlns:ds="http://schemas.openxmlformats.org/officeDocument/2006/customXml" ds:itemID="{FFD7F0F8-6564-4408-8787-19C268E29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Nino Baqradze</cp:lastModifiedBy>
  <cp:revision>2</cp:revision>
  <dcterms:created xsi:type="dcterms:W3CDTF">2021-05-04T11:24:00Z</dcterms:created>
  <dcterms:modified xsi:type="dcterms:W3CDTF">2021-05-04T11:24:00Z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