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الدورة الثامنة والثلاثون</w:t>
      </w: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للفريق العامل المعني بالاستعراض الدوري الشامل</w:t>
      </w: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جـنـيـف</w:t>
      </w:r>
    </w:p>
    <w:p>
      <w:pPr>
        <w:pStyle w:val="Body A"/>
        <w:bidi w:val="1"/>
        <w:ind w:left="0" w:right="0" w:firstLine="0"/>
        <w:jc w:val="left"/>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sz w:val="52"/>
          <w:szCs w:val="52"/>
          <w:u w:color="000000"/>
          <w:rtl w:val="1"/>
          <w:lang w:val="ar-SA" w:bidi="ar-SA"/>
        </w:rPr>
        <w:t xml:space="preserve">5 </w:t>
      </w:r>
      <w:r>
        <w:rPr>
          <w:rFonts w:ascii="DecoType Naskh Extensions" w:cs="DecoType Naskh Extensions" w:hAnsi="DecoType Naskh Extensions" w:eastAsia="DecoType Naskh Extensions" w:hint="cs"/>
          <w:sz w:val="52"/>
          <w:szCs w:val="52"/>
          <w:u w:color="000000"/>
          <w:rtl w:val="1"/>
          <w:lang w:val="ar-SA" w:bidi="ar-SA"/>
        </w:rPr>
        <w:t>مايو ٢٠٢١</w:t>
      </w:r>
    </w:p>
    <w:p>
      <w:pPr>
        <w:pStyle w:val="Body A"/>
        <w:bidi w:val="1"/>
        <w:ind w:left="0" w:right="0" w:firstLine="0"/>
        <w:jc w:val="left"/>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 xml:space="preserve">استعراض تقرير </w:t>
      </w:r>
      <w:r>
        <w:rPr>
          <w:rFonts w:ascii="DecoType Naskh Extensions" w:cs="DecoType Naskh Extensions" w:hAnsi="DecoType Naskh Extensions" w:eastAsia="DecoType Naskh Extensions"/>
          <w:sz w:val="52"/>
          <w:szCs w:val="52"/>
          <w:u w:color="000000"/>
          <w:rtl w:val="1"/>
          <w:lang w:val="ar-SA" w:bidi="ar-SA"/>
        </w:rPr>
        <w:t>(</w:t>
      </w:r>
      <w:r>
        <w:rPr>
          <w:rFonts w:ascii="DecoType Naskh Extensions" w:cs="DecoType Naskh Extensions" w:hAnsi="DecoType Naskh Extensions" w:eastAsia="DecoType Naskh Extensions" w:hint="cs"/>
          <w:sz w:val="52"/>
          <w:szCs w:val="52"/>
          <w:u w:color="000000"/>
          <w:rtl w:val="1"/>
          <w:lang w:val="ar-SA" w:bidi="ar-SA"/>
        </w:rPr>
        <w:t>بلجيكا</w:t>
      </w:r>
      <w:r>
        <w:rPr>
          <w:rFonts w:ascii="DecoType Naskh Extensions" w:cs="DecoType Naskh Extensions" w:hAnsi="DecoType Naskh Extensions" w:eastAsia="DecoType Naskh Extensions"/>
          <w:sz w:val="52"/>
          <w:szCs w:val="52"/>
          <w:u w:color="000000"/>
          <w:rtl w:val="1"/>
          <w:lang w:val="ar-SA" w:bidi="ar-SA"/>
        </w:rPr>
        <w:t>)</w:t>
      </w:r>
    </w:p>
    <w:p>
      <w:pPr>
        <w:pStyle w:val="Body A"/>
        <w:bidi w:val="1"/>
        <w:ind w:left="0" w:right="0" w:firstLine="0"/>
        <w:jc w:val="left"/>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48"/>
          <w:szCs w:val="48"/>
          <w:u w:color="000000"/>
          <w:rtl w:val="1"/>
        </w:rPr>
      </w:pPr>
      <w:r>
        <w:rPr>
          <w:rFonts w:ascii="DecoType Naskh Extensions" w:cs="DecoType Naskh Extensions" w:hAnsi="DecoType Naskh Extensions" w:eastAsia="DecoType Naskh Extensions" w:hint="cs"/>
          <w:sz w:val="48"/>
          <w:szCs w:val="48"/>
          <w:u w:color="000000"/>
          <w:rtl w:val="1"/>
          <w:lang w:val="ar-SA" w:bidi="ar-SA"/>
        </w:rPr>
        <w:t>مداخلة البعثة الدائمة للمملكة العربية السعودية لدى الأمم المتحدة بجنيف</w:t>
      </w:r>
    </w:p>
    <w:p>
      <w:pPr>
        <w:pStyle w:val="Body A"/>
        <w:bidi w:val="1"/>
        <w:ind w:left="0" w:right="0" w:firstLine="0"/>
        <w:jc w:val="both"/>
        <w:rPr>
          <w:rFonts w:ascii="Arabic Typesetting" w:cs="Arabic Typesetting" w:hAnsi="Arabic Typesetting" w:eastAsia="Arabic Typesetting"/>
          <w:sz w:val="50"/>
          <w:szCs w:val="50"/>
          <w:u w:color="000000"/>
          <w:rtl w:val="1"/>
        </w:rPr>
      </w:pPr>
    </w:p>
    <w:p>
      <w:pPr>
        <w:pStyle w:val="Body A"/>
        <w:bidi w:val="1"/>
        <w:ind w:left="0" w:right="0" w:firstLine="0"/>
        <w:jc w:val="both"/>
        <w:rPr>
          <w:rFonts w:ascii="Arabic Typesetting" w:cs="Arabic Typesetting" w:hAnsi="Arabic Typesetting" w:eastAsia="Arabic Typesetting"/>
          <w:sz w:val="50"/>
          <w:szCs w:val="50"/>
          <w:u w:color="000000"/>
          <w:rtl w:val="1"/>
        </w:rPr>
      </w:pPr>
    </w:p>
    <w:p>
      <w:pPr>
        <w:pStyle w:val="Body A"/>
        <w:bidi w:val="1"/>
        <w:ind w:left="0" w:right="0" w:firstLine="0"/>
        <w:jc w:val="both"/>
        <w:rPr>
          <w:rFonts w:ascii="Arabic Typesetting" w:cs="Arabic Typesetting" w:hAnsi="Arabic Typesetting" w:eastAsia="Arabic Typesetting"/>
          <w:sz w:val="50"/>
          <w:szCs w:val="50"/>
          <w:u w:color="000000"/>
          <w:rtl w:val="1"/>
        </w:rPr>
      </w:pPr>
    </w:p>
    <w:p>
      <w:pPr>
        <w:pStyle w:val="Body A"/>
        <w:bidi w:val="1"/>
        <w:ind w:left="0" w:right="0" w:firstLine="0"/>
        <w:jc w:val="both"/>
        <w:rPr>
          <w:rFonts w:ascii="Royal Arabic" w:cs="Royal Arabic" w:hAnsi="Royal Arabic" w:eastAsia="Royal Arabic"/>
          <w:sz w:val="48"/>
          <w:szCs w:val="48"/>
          <w:u w:color="000000"/>
          <w:rtl w:val="1"/>
        </w:rPr>
      </w:pPr>
      <w:r>
        <w:rPr>
          <w:rFonts w:ascii="Royal Arabic" w:cs="Royal Arabic" w:hAnsi="Royal Arabic" w:eastAsia="Royal Arabic" w:hint="cs"/>
          <w:sz w:val="48"/>
          <w:szCs w:val="48"/>
          <w:u w:color="000000"/>
          <w:rtl w:val="1"/>
          <w:lang w:val="ar-SA" w:bidi="ar-SA"/>
        </w:rPr>
        <w:t>السيدة الرئيس</w:t>
      </w:r>
      <w:r>
        <w:rPr>
          <w:rFonts w:ascii="Royal Arabic" w:cs="Royal Arabic" w:hAnsi="Royal Arabic" w:eastAsia="Royal Arabic"/>
          <w:sz w:val="48"/>
          <w:szCs w:val="48"/>
          <w:u w:color="000000"/>
          <w:rtl w:val="1"/>
          <w:lang w:val="ar-SA" w:bidi="ar-SA"/>
        </w:rPr>
        <w:t>..</w:t>
      </w:r>
    </w:p>
    <w:p>
      <w:pPr>
        <w:pStyle w:val="Body A"/>
        <w:bidi w:val="1"/>
        <w:ind w:left="0" w:right="0" w:firstLine="0"/>
        <w:jc w:val="both"/>
        <w:rPr>
          <w:rFonts w:ascii="Royal Arabic" w:cs="Royal Arabic" w:hAnsi="Royal Arabic" w:eastAsia="Royal Arabic"/>
          <w:sz w:val="48"/>
          <w:szCs w:val="48"/>
          <w:u w:color="000000"/>
          <w:rtl w:val="1"/>
        </w:rPr>
      </w:pPr>
      <w:r>
        <w:rPr>
          <w:rFonts w:ascii="Royal Arabic" w:cs="Royal Arabic" w:hAnsi="Royal Arabic" w:eastAsia="Royal Arabic" w:hint="cs"/>
          <w:sz w:val="48"/>
          <w:szCs w:val="48"/>
          <w:u w:color="000000"/>
          <w:rtl w:val="1"/>
          <w:lang w:val="ar-SA" w:bidi="ar-SA"/>
        </w:rPr>
        <w:t>واذ تحيط بعثة بلادي علماً ببعض الجهود الرامية لتعزيز وحماية حقوق الانسان في بلجيكا، إلا ان بعثة بلادي تشعر بالقلق بشأن مظاهر العنصرية والتمييز وكراهية الأجانب وكراهية الإسلام، كما تشعر بعثة بلادي بالقلق من الخطابات السياسية المعادية للأجانب والتي قد تؤجج التمييز العنصري ضد الأقليات الدينية في بلجيكا</w:t>
      </w:r>
      <w:r>
        <w:rPr>
          <w:rFonts w:ascii="Royal Arabic" w:cs="Royal Arabic" w:hAnsi="Royal Arabic" w:eastAsia="Royal Arabic"/>
          <w:sz w:val="48"/>
          <w:szCs w:val="48"/>
          <w:u w:color="000000"/>
          <w:rtl w:val="1"/>
          <w:lang w:val="ar-SA" w:bidi="ar-SA"/>
        </w:rPr>
        <w:t xml:space="preserve">. </w:t>
      </w:r>
      <w:r>
        <w:rPr>
          <w:rFonts w:ascii="Royal Arabic" w:cs="Royal Arabic" w:hAnsi="Royal Arabic" w:eastAsia="Royal Arabic" w:hint="cs"/>
          <w:sz w:val="48"/>
          <w:szCs w:val="48"/>
          <w:u w:color="000000"/>
          <w:rtl w:val="1"/>
          <w:lang w:val="ar-SA" w:bidi="ar-SA"/>
        </w:rPr>
        <w:t>وفي هذا الصدد تود بعثة بلادي أن يوصي بما يلي</w:t>
      </w:r>
      <w:r>
        <w:rPr>
          <w:rFonts w:ascii="Royal Arabic" w:cs="Royal Arabic" w:hAnsi="Royal Arabic" w:eastAsia="Royal Arabic"/>
          <w:sz w:val="48"/>
          <w:szCs w:val="48"/>
          <w:u w:color="000000"/>
          <w:rtl w:val="1"/>
          <w:lang w:val="ar-SA" w:bidi="ar-SA"/>
        </w:rPr>
        <w:t xml:space="preserve">: </w:t>
      </w:r>
    </w:p>
    <w:p>
      <w:pPr>
        <w:pStyle w:val="Body A"/>
        <w:numPr>
          <w:ilvl w:val="0"/>
          <w:numId w:val="2"/>
        </w:numPr>
        <w:bidi w:val="1"/>
        <w:ind w:right="0"/>
        <w:jc w:val="both"/>
        <w:rPr>
          <w:rFonts w:ascii="Royal Arabic" w:cs="Royal Arabic" w:hAnsi="Royal Arabic" w:eastAsia="Royal Arabic" w:hint="cs"/>
          <w:sz w:val="48"/>
          <w:szCs w:val="48"/>
          <w:u w:color="000000"/>
          <w:rtl w:val="1"/>
          <w:lang w:val="ar-SA" w:bidi="ar-SA"/>
        </w:rPr>
      </w:pPr>
      <w:r>
        <w:rPr>
          <w:rFonts w:ascii="Royal Arabic" w:cs="Royal Arabic" w:hAnsi="Royal Arabic" w:eastAsia="Royal Arabic" w:hint="cs"/>
          <w:sz w:val="48"/>
          <w:szCs w:val="48"/>
          <w:u w:color="000000"/>
          <w:rtl w:val="1"/>
          <w:lang w:val="ar-SA" w:bidi="ar-SA"/>
        </w:rPr>
        <w:t>تعديل قانون الشرطة عن طريق ادراج حظر صريح للتمييز ومنع التنميط العرقي</w:t>
      </w:r>
      <w:r>
        <w:rPr>
          <w:rFonts w:ascii="Royal Arabic" w:cs="Royal Arabic" w:hAnsi="Royal Arabic" w:eastAsia="Royal Arabic"/>
          <w:sz w:val="48"/>
          <w:szCs w:val="48"/>
          <w:u w:color="000000"/>
          <w:rtl w:val="1"/>
          <w:lang w:val="ar-SA" w:bidi="ar-SA"/>
        </w:rPr>
        <w:t>.</w:t>
      </w:r>
    </w:p>
    <w:p>
      <w:pPr>
        <w:pStyle w:val="Body A"/>
        <w:numPr>
          <w:ilvl w:val="0"/>
          <w:numId w:val="3"/>
        </w:numPr>
        <w:bidi w:val="1"/>
        <w:ind w:right="0"/>
        <w:jc w:val="both"/>
        <w:rPr>
          <w:rFonts w:ascii="Arabic Typesetting" w:cs="Arabic Typesetting" w:hAnsi="Arabic Typesetting" w:eastAsia="Arabic Typesetting" w:hint="cs"/>
          <w:sz w:val="50"/>
          <w:szCs w:val="50"/>
          <w:u w:color="000000"/>
          <w:rtl w:val="1"/>
          <w:lang w:val="ar-SA" w:bidi="ar-SA"/>
        </w:rPr>
      </w:pPr>
      <w:r>
        <w:rPr>
          <w:rFonts w:ascii="Royal Arabic" w:cs="Royal Arabic" w:hAnsi="Royal Arabic" w:eastAsia="Royal Arabic" w:hint="cs"/>
          <w:sz w:val="48"/>
          <w:szCs w:val="48"/>
          <w:u w:color="000000"/>
          <w:rtl w:val="1"/>
          <w:lang w:val="ar-SA" w:bidi="ar-SA"/>
        </w:rPr>
        <w:t>بذل الجهود لمكافحة التصنيف المبني على الدين في عمليات الاستجواب والتفتيش وغيرها من إجراءات انفاذ القانون</w:t>
      </w:r>
      <w:r>
        <w:rPr>
          <w:rFonts w:ascii="Royal Arabic" w:cs="Royal Arabic" w:hAnsi="Royal Arabic" w:eastAsia="Royal Arabic"/>
          <w:sz w:val="48"/>
          <w:szCs w:val="48"/>
          <w:u w:color="000000"/>
          <w:rtl w:val="1"/>
          <w:lang w:val="ar-SA" w:bidi="ar-SA"/>
        </w:rPr>
        <w:t xml:space="preserve">. </w:t>
      </w:r>
    </w:p>
    <w:p>
      <w:pPr>
        <w:pStyle w:val="Body A"/>
        <w:numPr>
          <w:ilvl w:val="0"/>
          <w:numId w:val="3"/>
        </w:numPr>
        <w:bidi w:val="1"/>
        <w:ind w:right="0"/>
        <w:jc w:val="both"/>
        <w:rPr>
          <w:rFonts w:ascii="Arabic Typesetting" w:cs="Arabic Typesetting" w:hAnsi="Arabic Typesetting" w:eastAsia="Arabic Typesetting" w:hint="cs"/>
          <w:sz w:val="50"/>
          <w:szCs w:val="50"/>
          <w:u w:color="000000"/>
          <w:rtl w:val="1"/>
          <w:lang w:val="ar-SA" w:bidi="ar-SA"/>
        </w:rPr>
      </w:pPr>
      <w:r>
        <w:rPr>
          <w:rFonts w:ascii="Royal Arabic" w:cs="Royal Arabic" w:hAnsi="Royal Arabic" w:eastAsia="Royal Arabic" w:hint="cs"/>
          <w:sz w:val="48"/>
          <w:szCs w:val="48"/>
          <w:u w:color="000000"/>
          <w:rtl w:val="1"/>
          <w:lang w:val="ar-SA" w:bidi="ar-SA"/>
        </w:rPr>
        <w:t>اتخاذ التدابير التوعوية للازمة من أجل تعزيز احترام التنوع الثقافي ومكافحة القولبة النمطية والتمييز وكراهية الإسلام</w:t>
      </w:r>
      <w:r>
        <w:rPr>
          <w:rFonts w:ascii="Royal Arabic" w:cs="Royal Arabic" w:hAnsi="Royal Arabic" w:eastAsia="Royal Arabic"/>
          <w:sz w:val="48"/>
          <w:szCs w:val="48"/>
          <w:u w:color="000000"/>
          <w:rtl w:val="1"/>
          <w:lang w:val="ar-SA" w:bidi="ar-SA"/>
        </w:rPr>
        <w:t xml:space="preserve">. </w:t>
      </w:r>
    </w:p>
    <w:p>
      <w:pPr>
        <w:pStyle w:val="Body A"/>
        <w:bidi w:val="1"/>
        <w:ind w:left="360" w:right="0" w:firstLine="0"/>
        <w:jc w:val="both"/>
        <w:rPr>
          <w:rFonts w:ascii="Royal Arabic" w:cs="Royal Arabic" w:hAnsi="Royal Arabic" w:eastAsia="Royal Arabic"/>
          <w:sz w:val="48"/>
          <w:szCs w:val="48"/>
          <w:u w:color="000000"/>
          <w:rtl w:val="1"/>
        </w:rPr>
      </w:pPr>
      <w:r>
        <w:rPr>
          <w:rFonts w:ascii="Royal Arabic" w:cs="Royal Arabic" w:hAnsi="Royal Arabic" w:eastAsia="Royal Arabic" w:hint="cs"/>
          <w:sz w:val="48"/>
          <w:szCs w:val="48"/>
          <w:u w:color="000000"/>
          <w:rtl w:val="1"/>
          <w:lang w:val="ar-SA" w:bidi="ar-SA"/>
        </w:rPr>
        <w:t>وشكرا السيدة الرئيس</w:t>
      </w:r>
    </w:p>
    <w:p>
      <w:pPr>
        <w:pStyle w:val="Body A"/>
        <w:bidi w:val="1"/>
        <w:ind w:left="360" w:right="0" w:firstLine="0"/>
        <w:jc w:val="both"/>
        <w:rPr>
          <w:rFonts w:ascii="Royal Arabic" w:cs="Royal Arabic" w:hAnsi="Royal Arabic" w:eastAsia="Royal Arabic"/>
          <w:sz w:val="48"/>
          <w:szCs w:val="48"/>
          <w:u w:color="000000"/>
          <w:rtl w:val="1"/>
        </w:rPr>
      </w:pPr>
    </w:p>
    <w:p>
      <w:pPr>
        <w:pStyle w:val="Body A"/>
        <w:bidi w:val="1"/>
        <w:ind w:left="360" w:right="0" w:firstLine="0"/>
        <w:jc w:val="both"/>
        <w:rPr>
          <w:rFonts w:ascii="Royal Arabic" w:cs="Royal Arabic" w:hAnsi="Royal Arabic" w:eastAsia="Royal Arabic"/>
          <w:sz w:val="48"/>
          <w:szCs w:val="48"/>
          <w:u w:color="000000"/>
          <w:rtl w:val="1"/>
        </w:rPr>
      </w:pPr>
      <w:r>
        <w:rPr>
          <w:rFonts w:ascii="Royal Arabic" w:cs="Royal Arabic" w:hAnsi="Royal Arabic" w:eastAsia="Royal Arabic"/>
          <w:sz w:val="48"/>
          <w:szCs w:val="48"/>
          <w:u w:color="000000"/>
          <w:rtl w:val="1"/>
          <w:lang w:val="ar-SA" w:bidi="ar-SA"/>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ecoType Naskh Extensions">
    <w:charset w:val="00"/>
    <w:family w:val="roman"/>
    <w:pitch w:val="default"/>
  </w:font>
  <w:font w:name="Arabic Typesetting">
    <w:charset w:val="00"/>
    <w:family w:val="roman"/>
    <w:pitch w:val="default"/>
  </w:font>
  <w:font w:name="Royal Arab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51" w:hanging="6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6" w:hanging="3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44"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66" w:hanging="3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86" w:hanging="3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04"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26" w:hanging="3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46" w:hanging="3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64"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ar-SA" w:bidi="ar-SA"/>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35773-FAE7-440A-8C4C-912D4DE25B74}"/>
</file>

<file path=customXml/itemProps2.xml><?xml version="1.0" encoding="utf-8"?>
<ds:datastoreItem xmlns:ds="http://schemas.openxmlformats.org/officeDocument/2006/customXml" ds:itemID="{1A6CC266-F8CB-4421-B8D4-E50E87CE6C8E}"/>
</file>

<file path=customXml/itemProps3.xml><?xml version="1.0" encoding="utf-8"?>
<ds:datastoreItem xmlns:ds="http://schemas.openxmlformats.org/officeDocument/2006/customXml" ds:itemID="{46FF4D96-2149-43EB-B4F0-F5B2FA7240C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