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6585B9CC" w:rsidR="00295563" w:rsidRPr="00F45506" w:rsidRDefault="00F45506" w:rsidP="00F45506">
      <w:pPr>
        <w:spacing w:line="276" w:lineRule="auto"/>
        <w:jc w:val="center"/>
        <w:rPr>
          <w:rFonts w:ascii="Arial" w:hAnsi="Arial" w:cs="Arial"/>
          <w:b/>
          <w:lang w:val="fr-CA"/>
        </w:rPr>
      </w:pPr>
      <w:bookmarkStart w:id="0" w:name="_GoBack"/>
      <w:r w:rsidRPr="00F45506">
        <w:rPr>
          <w:rFonts w:ascii="Arial" w:hAnsi="Arial" w:cs="Arial"/>
          <w:b/>
          <w:lang w:val="fr-CA"/>
        </w:rPr>
        <w:t>EPU38</w:t>
      </w:r>
    </w:p>
    <w:p w14:paraId="5635ADAF" w14:textId="44B2DE40" w:rsidR="00F45506" w:rsidRPr="00F45506" w:rsidRDefault="00F45506" w:rsidP="00F45506">
      <w:pPr>
        <w:spacing w:line="276" w:lineRule="auto"/>
        <w:jc w:val="center"/>
        <w:rPr>
          <w:rFonts w:ascii="Arial" w:hAnsi="Arial" w:cs="Arial"/>
          <w:b/>
          <w:lang w:val="fr-CA"/>
        </w:rPr>
      </w:pPr>
      <w:r w:rsidRPr="00F45506">
        <w:rPr>
          <w:rFonts w:ascii="Arial" w:hAnsi="Arial" w:cs="Arial"/>
          <w:b/>
          <w:lang w:val="fr-CA"/>
        </w:rPr>
        <w:t>4 mai 2021</w:t>
      </w:r>
    </w:p>
    <w:p w14:paraId="1D051179" w14:textId="56952864" w:rsidR="00F45506" w:rsidRPr="00F45506" w:rsidRDefault="00F45506" w:rsidP="00F45506">
      <w:pPr>
        <w:spacing w:line="276" w:lineRule="auto"/>
        <w:jc w:val="center"/>
        <w:rPr>
          <w:rFonts w:ascii="Arial" w:hAnsi="Arial" w:cs="Arial"/>
          <w:b/>
          <w:lang w:val="fr-CA"/>
        </w:rPr>
      </w:pPr>
      <w:r w:rsidRPr="00F45506">
        <w:rPr>
          <w:rFonts w:ascii="Arial" w:hAnsi="Arial" w:cs="Arial"/>
          <w:b/>
          <w:lang w:val="fr-CA"/>
        </w:rPr>
        <w:t>Recommandations du Canada pour l’EPU de l’Estonie</w:t>
      </w:r>
    </w:p>
    <w:bookmarkEnd w:id="0"/>
    <w:p w14:paraId="1C44D484" w14:textId="5351A0D4" w:rsidR="00F45506" w:rsidRPr="00F45506" w:rsidRDefault="00F45506" w:rsidP="00F45506">
      <w:pPr>
        <w:pStyle w:val="NoSpacing"/>
        <w:rPr>
          <w:rFonts w:ascii="Arial" w:hAnsi="Arial" w:cs="Arial"/>
          <w:b/>
          <w:sz w:val="24"/>
          <w:szCs w:val="24"/>
          <w:lang w:val="fr-CA"/>
        </w:rPr>
      </w:pPr>
    </w:p>
    <w:p w14:paraId="17997AA3" w14:textId="77777777" w:rsidR="00F45506" w:rsidRPr="00F45506" w:rsidRDefault="00F45506" w:rsidP="00F45506">
      <w:pPr>
        <w:pStyle w:val="NoSpacing"/>
        <w:rPr>
          <w:rFonts w:ascii="Arial" w:hAnsi="Arial" w:cs="Arial"/>
          <w:sz w:val="24"/>
          <w:szCs w:val="24"/>
          <w:lang w:val="fr-CA"/>
        </w:rPr>
      </w:pPr>
      <w:r w:rsidRPr="00F45506">
        <w:rPr>
          <w:rFonts w:ascii="Arial" w:hAnsi="Arial" w:cs="Arial"/>
          <w:sz w:val="24"/>
          <w:szCs w:val="24"/>
          <w:lang w:val="fr-CA"/>
        </w:rPr>
        <w:t xml:space="preserve">Merci, Madame la Présidente. </w:t>
      </w:r>
    </w:p>
    <w:p w14:paraId="760278E8" w14:textId="77777777" w:rsidR="00F45506" w:rsidRPr="00F45506" w:rsidRDefault="00F45506" w:rsidP="00F45506">
      <w:pPr>
        <w:pStyle w:val="NoSpacing"/>
        <w:rPr>
          <w:rFonts w:ascii="Arial" w:hAnsi="Arial" w:cs="Arial"/>
          <w:sz w:val="24"/>
          <w:szCs w:val="24"/>
          <w:lang w:val="fr-CA"/>
        </w:rPr>
      </w:pPr>
    </w:p>
    <w:p w14:paraId="57E5573D" w14:textId="77777777" w:rsidR="00F45506" w:rsidRPr="00F45506" w:rsidRDefault="00F45506" w:rsidP="00F45506">
      <w:pPr>
        <w:pStyle w:val="NoSpacing"/>
        <w:rPr>
          <w:rFonts w:ascii="Arial" w:hAnsi="Arial" w:cs="Arial"/>
          <w:sz w:val="24"/>
          <w:szCs w:val="24"/>
          <w:lang w:val="fr-CA"/>
        </w:rPr>
      </w:pPr>
      <w:r w:rsidRPr="00F45506">
        <w:rPr>
          <w:rFonts w:ascii="Arial" w:hAnsi="Arial" w:cs="Arial"/>
          <w:sz w:val="24"/>
          <w:szCs w:val="24"/>
          <w:lang w:val="fr-CA"/>
        </w:rPr>
        <w:t>Le Canada remercie l’Estonie de sa présentation et salue les mesures qu’elle a prises pendant la période de référence, notamment concernant la violence à l’égard des femmes.</w:t>
      </w:r>
    </w:p>
    <w:p w14:paraId="14509BD9" w14:textId="77777777" w:rsidR="00F45506" w:rsidRPr="00F45506" w:rsidRDefault="00F45506" w:rsidP="00F45506">
      <w:pPr>
        <w:pStyle w:val="NoSpacing"/>
        <w:rPr>
          <w:rFonts w:ascii="Arial" w:hAnsi="Arial" w:cs="Arial"/>
          <w:sz w:val="24"/>
          <w:szCs w:val="24"/>
          <w:lang w:val="fr-CA"/>
        </w:rPr>
      </w:pPr>
    </w:p>
    <w:p w14:paraId="7377A1C1" w14:textId="77777777" w:rsidR="00F45506" w:rsidRPr="00F45506" w:rsidRDefault="00F45506" w:rsidP="00F45506">
      <w:pPr>
        <w:pStyle w:val="NoSpacing"/>
        <w:rPr>
          <w:rFonts w:ascii="Arial" w:hAnsi="Arial" w:cs="Arial"/>
          <w:sz w:val="24"/>
          <w:szCs w:val="24"/>
          <w:lang w:val="fr-CA"/>
        </w:rPr>
      </w:pPr>
      <w:r w:rsidRPr="00F45506">
        <w:rPr>
          <w:rFonts w:ascii="Arial" w:hAnsi="Arial" w:cs="Arial"/>
          <w:sz w:val="24"/>
          <w:szCs w:val="24"/>
          <w:lang w:val="fr-CA"/>
        </w:rPr>
        <w:t>Le Canada recommande à l’Estonie de :</w:t>
      </w:r>
    </w:p>
    <w:p w14:paraId="4F8565B8" w14:textId="77777777" w:rsidR="00F45506" w:rsidRPr="00F45506" w:rsidRDefault="00F45506" w:rsidP="00F45506">
      <w:pPr>
        <w:rPr>
          <w:rFonts w:ascii="Arial" w:hAnsi="Arial" w:cs="Arial"/>
          <w:bCs/>
          <w:lang w:val="fr-CA"/>
        </w:rPr>
      </w:pPr>
    </w:p>
    <w:p w14:paraId="4B9C2061" w14:textId="77777777" w:rsidR="00F45506" w:rsidRPr="00F45506" w:rsidRDefault="00F45506" w:rsidP="00F45506">
      <w:pPr>
        <w:pStyle w:val="ListParagraph"/>
        <w:numPr>
          <w:ilvl w:val="0"/>
          <w:numId w:val="8"/>
        </w:numPr>
        <w:spacing w:after="160" w:line="259" w:lineRule="auto"/>
        <w:rPr>
          <w:rFonts w:ascii="Arial" w:hAnsi="Arial" w:cs="Arial"/>
          <w:bCs/>
          <w:sz w:val="24"/>
          <w:szCs w:val="24"/>
          <w:lang w:val="fr-CA"/>
        </w:rPr>
      </w:pPr>
      <w:r w:rsidRPr="00F45506">
        <w:rPr>
          <w:rFonts w:ascii="Arial" w:hAnsi="Arial" w:cs="Arial"/>
          <w:bCs/>
          <w:sz w:val="24"/>
          <w:szCs w:val="24"/>
          <w:lang w:val="fr-CA"/>
        </w:rPr>
        <w:t>adopter une loi sur les crimes haineux fondés sur l’orientation sexuelle et l’identité de genre, et appliquer de manière uniforme et cohérente les lois contre la discrimination pour tout motif.</w:t>
      </w:r>
    </w:p>
    <w:p w14:paraId="3F930F97" w14:textId="77777777" w:rsidR="00F45506" w:rsidRPr="00F45506" w:rsidRDefault="00F45506" w:rsidP="00F45506">
      <w:pPr>
        <w:pStyle w:val="ListParagraph"/>
        <w:rPr>
          <w:rFonts w:ascii="Arial" w:hAnsi="Arial" w:cs="Arial"/>
          <w:bCs/>
          <w:sz w:val="24"/>
          <w:szCs w:val="24"/>
          <w:lang w:val="fr-CA"/>
        </w:rPr>
      </w:pPr>
    </w:p>
    <w:p w14:paraId="07C9F258" w14:textId="77777777" w:rsidR="00F45506" w:rsidRPr="00F45506" w:rsidRDefault="00F45506" w:rsidP="00F45506">
      <w:pPr>
        <w:pStyle w:val="ListParagraph"/>
        <w:numPr>
          <w:ilvl w:val="0"/>
          <w:numId w:val="8"/>
        </w:numPr>
        <w:spacing w:after="160" w:line="259" w:lineRule="auto"/>
        <w:rPr>
          <w:rFonts w:ascii="Arial" w:hAnsi="Arial" w:cs="Arial"/>
          <w:bCs/>
          <w:sz w:val="24"/>
          <w:szCs w:val="24"/>
          <w:lang w:val="fr-CA"/>
        </w:rPr>
      </w:pPr>
      <w:r w:rsidRPr="00F45506">
        <w:rPr>
          <w:rFonts w:ascii="Arial" w:hAnsi="Arial" w:cs="Arial"/>
          <w:bCs/>
          <w:sz w:val="24"/>
          <w:szCs w:val="24"/>
          <w:lang w:val="fr-CA"/>
        </w:rPr>
        <w:t>s’attaquer à l’intolérance et au racisme par des programmes concertés de sensibilisation et d’éducation du public qui favorisent la cohésion sociale et encouragent la diversité et l’inclusion, en tenant compte des nouveaux arrivants dans la société.</w:t>
      </w:r>
    </w:p>
    <w:p w14:paraId="6962CF51" w14:textId="77777777" w:rsidR="00F45506" w:rsidRPr="00F45506" w:rsidRDefault="00F45506" w:rsidP="00F45506">
      <w:pPr>
        <w:pStyle w:val="ListParagraph"/>
        <w:rPr>
          <w:rFonts w:ascii="Arial" w:hAnsi="Arial" w:cs="Arial"/>
          <w:bCs/>
          <w:sz w:val="24"/>
          <w:szCs w:val="24"/>
          <w:lang w:val="fr-CA"/>
        </w:rPr>
      </w:pPr>
    </w:p>
    <w:p w14:paraId="0EB83CDB" w14:textId="77777777" w:rsidR="00F45506" w:rsidRPr="00F45506" w:rsidRDefault="00F45506" w:rsidP="00F45506">
      <w:pPr>
        <w:pStyle w:val="ListParagraph"/>
        <w:numPr>
          <w:ilvl w:val="0"/>
          <w:numId w:val="8"/>
        </w:numPr>
        <w:spacing w:after="160" w:line="259" w:lineRule="auto"/>
        <w:rPr>
          <w:rFonts w:ascii="Arial" w:hAnsi="Arial" w:cs="Arial"/>
          <w:bCs/>
          <w:sz w:val="24"/>
          <w:szCs w:val="24"/>
          <w:lang w:val="fr-CA"/>
        </w:rPr>
      </w:pPr>
      <w:r w:rsidRPr="00F45506">
        <w:rPr>
          <w:rFonts w:ascii="Arial" w:hAnsi="Arial" w:cs="Arial"/>
          <w:bCs/>
          <w:sz w:val="24"/>
          <w:szCs w:val="24"/>
          <w:lang w:val="fr-CA"/>
        </w:rPr>
        <w:t>étendre les efforts récents de lutte contre la violence et la discrimination à l’égard des femmes pour couvrir les droits et les intérêts des filles, incluant par la révision de l’âge légal du consentement aux activités sexuelles.</w:t>
      </w:r>
    </w:p>
    <w:p w14:paraId="4D035CA6" w14:textId="77777777" w:rsidR="00F45506" w:rsidRPr="00F45506" w:rsidRDefault="00F45506" w:rsidP="00F45506">
      <w:pPr>
        <w:pStyle w:val="ListParagraph"/>
        <w:rPr>
          <w:rFonts w:ascii="Arial" w:hAnsi="Arial" w:cs="Arial"/>
          <w:bCs/>
          <w:sz w:val="24"/>
          <w:szCs w:val="24"/>
          <w:lang w:val="fr-CA"/>
        </w:rPr>
      </w:pPr>
    </w:p>
    <w:p w14:paraId="150623E6" w14:textId="77777777" w:rsidR="00F45506" w:rsidRPr="00F45506" w:rsidRDefault="00F45506" w:rsidP="00F45506">
      <w:pPr>
        <w:pStyle w:val="ListParagraph"/>
        <w:numPr>
          <w:ilvl w:val="0"/>
          <w:numId w:val="8"/>
        </w:numPr>
        <w:spacing w:after="160" w:line="259" w:lineRule="auto"/>
        <w:rPr>
          <w:rFonts w:ascii="Arial" w:hAnsi="Arial" w:cs="Arial"/>
          <w:bCs/>
          <w:sz w:val="24"/>
          <w:szCs w:val="24"/>
          <w:lang w:val="fr-CA"/>
        </w:rPr>
      </w:pPr>
      <w:r w:rsidRPr="00F45506">
        <w:rPr>
          <w:rFonts w:ascii="Arial" w:hAnsi="Arial" w:cs="Arial"/>
          <w:bCs/>
          <w:sz w:val="24"/>
          <w:szCs w:val="24"/>
          <w:lang w:val="fr-CA"/>
        </w:rPr>
        <w:t>respecter le droit de vote de tous les détenus.</w:t>
      </w:r>
    </w:p>
    <w:p w14:paraId="279BEEFF" w14:textId="77777777" w:rsidR="00F45506" w:rsidRPr="00F45506" w:rsidRDefault="00F45506" w:rsidP="00F45506">
      <w:pPr>
        <w:rPr>
          <w:rFonts w:ascii="Arial" w:hAnsi="Arial" w:cs="Arial"/>
          <w:bCs/>
          <w:lang w:val="fr-CA"/>
        </w:rPr>
      </w:pPr>
      <w:r w:rsidRPr="00F45506">
        <w:rPr>
          <w:rFonts w:ascii="Arial" w:hAnsi="Arial" w:cs="Arial"/>
          <w:lang w:val="fr-CA"/>
        </w:rPr>
        <w:t xml:space="preserve">Le Canada applaudit le premier plan d’action de l’Estonie en matière de droits de la personne. Le Canada est également reconnaissant à l’Estonie d’avoir mis à profit son savoir-faire en matière de gouvernance numérique dans le domaine des droits de la personne. </w:t>
      </w:r>
    </w:p>
    <w:p w14:paraId="1E2D6243" w14:textId="77777777" w:rsidR="00F45506" w:rsidRPr="00F45506" w:rsidRDefault="00F45506" w:rsidP="00B31261">
      <w:pPr>
        <w:spacing w:line="276" w:lineRule="auto"/>
        <w:rPr>
          <w:rFonts w:ascii="Arial" w:hAnsi="Arial" w:cs="Arial"/>
          <w:lang w:val="fr-CA"/>
        </w:rPr>
      </w:pPr>
    </w:p>
    <w:sectPr w:rsidR="00F45506" w:rsidRPr="00F45506"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AE6EC8D"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4550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4550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68505C6"/>
    <w:multiLevelType w:val="hybridMultilevel"/>
    <w:tmpl w:val="4B882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45506"/>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01F06-E848-4820-BB04-E8180DD41EB0}"/>
</file>

<file path=customXml/itemProps2.xml><?xml version="1.0" encoding="utf-8"?>
<ds:datastoreItem xmlns:ds="http://schemas.openxmlformats.org/officeDocument/2006/customXml" ds:itemID="{31473007-69C7-4E22-9376-81AAB292CF3D}"/>
</file>

<file path=customXml/itemProps3.xml><?xml version="1.0" encoding="utf-8"?>
<ds:datastoreItem xmlns:ds="http://schemas.openxmlformats.org/officeDocument/2006/customXml" ds:itemID="{46D63AF3-DF0C-4FA1-9B15-9C22DBFB831A}"/>
</file>

<file path=customXml/itemProps4.xml><?xml version="1.0" encoding="utf-8"?>
<ds:datastoreItem xmlns:ds="http://schemas.openxmlformats.org/officeDocument/2006/customXml" ds:itemID="{845426A2-40C3-4A54-9809-8122BFBC8BC6}"/>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2021-05-03T06:48:00Z</dcterms:created>
  <dcterms:modified xsi:type="dcterms:W3CDTF">2021-05-03T06:48:00Z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