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37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SESSION OF THE UPR WORKING GROUP</w:t>
      </w:r>
    </w:p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REVIEW OF AUSTRIA</w:t>
      </w:r>
    </w:p>
    <w:p>
      <w:pPr>
        <w:pStyle w:val="Body A"/>
        <w:spacing w:after="0" w:line="276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Statement of Croatia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Thank you Madam President.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Croatia welcomes the delegation of Austria and thanks for the presentation of their report.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welcome the measures taken by Austria to combat discrimination especially through the adoption of IHRA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working definition of antisemitism and the new National Strategy against Antisemitism and for the Promotion of Jewish Life.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We have </w:t>
      </w:r>
      <w:r>
        <w:rPr>
          <w:rFonts w:ascii="Times New Roman" w:hAnsi="Times New Roman"/>
          <w:sz w:val="24"/>
          <w:szCs w:val="24"/>
          <w:rtl w:val="0"/>
          <w:lang w:val="en-US"/>
        </w:rPr>
        <w:t>following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recommendations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continue </w:t>
      </w:r>
      <w:r>
        <w:rPr>
          <w:rFonts w:ascii="Times New Roman" w:hAnsi="Times New Roman"/>
          <w:sz w:val="24"/>
          <w:szCs w:val="24"/>
          <w:rtl w:val="0"/>
          <w:lang w:val="en-US"/>
        </w:rPr>
        <w:t>to harmonise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national legislation against discrimination in order to ensure protection from all forms of discrimination, including on the basis of age, religion and belief, a</w:t>
      </w:r>
      <w:r>
        <w:rPr>
          <w:rFonts w:ascii="Times New Roman" w:hAnsi="Times New Roman"/>
          <w:sz w:val="24"/>
          <w:szCs w:val="24"/>
          <w:rtl w:val="0"/>
          <w:lang w:val="en-US"/>
        </w:rPr>
        <w:t>s well 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sexual orientation and gender identity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take further concrete steps to increase accessibility to shelters and support services for the victims of sexual and domestic violence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 line with the CRC recommendation, increase the minimum age for voluntary recruitment to 18 years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ensure financial and other resources for bilingual education </w:t>
      </w:r>
      <w:r>
        <w:rPr>
          <w:rFonts w:ascii="Times New Roman" w:hAnsi="Times New Roman"/>
          <w:sz w:val="24"/>
          <w:szCs w:val="24"/>
          <w:rtl w:val="0"/>
          <w:lang w:val="en-US"/>
        </w:rPr>
        <w:t>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national minorities, in capital and in relevant regions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wish Austria a successful review session. </w:t>
      </w:r>
    </w:p>
    <w:p>
      <w:pPr>
        <w:pStyle w:val="Body A"/>
        <w:spacing w:line="276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Thank you. 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4840E-3089-4DA9-BB57-1D5B97EBA69A}"/>
</file>

<file path=customXml/itemProps2.xml><?xml version="1.0" encoding="utf-8"?>
<ds:datastoreItem xmlns:ds="http://schemas.openxmlformats.org/officeDocument/2006/customXml" ds:itemID="{BF3853F9-39C3-4389-B57E-C488CF38F357}"/>
</file>

<file path=customXml/itemProps3.xml><?xml version="1.0" encoding="utf-8"?>
<ds:datastoreItem xmlns:ds="http://schemas.openxmlformats.org/officeDocument/2006/customXml" ds:itemID="{6F96E8EB-C215-45EF-9F66-6EEC7A3F67E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