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utexte21"/>
        <w:shd w:val="clear" w:color="auto" w:fill="auto"/>
        <w:spacing w:lineRule="auto" w:line="360" w:before="0" w:after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1776730</wp:posOffset>
            </wp:positionH>
            <wp:positionV relativeFrom="paragraph">
              <wp:posOffset>2540</wp:posOffset>
            </wp:positionV>
            <wp:extent cx="2179320" cy="942975"/>
            <wp:effectExtent l="0" t="0" r="0" b="0"/>
            <wp:wrapTight wrapText="bothSides">
              <wp:wrapPolygon edited="0">
                <wp:start x="-5" y="0"/>
                <wp:lineTo x="-5" y="21374"/>
                <wp:lineTo x="21333" y="21374"/>
                <wp:lineTo x="21333" y="0"/>
                <wp:lineTo x="-5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center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outlineLvl w:val="0"/>
        <w:rPr>
          <w:rFonts w:ascii="Calibri" w:hAnsi="Calibri" w:cs="Calibri" w:asciiTheme="minorHAnsi" w:cstheme="minorHAnsi" w:hAnsiTheme="minorHAnsi"/>
          <w:sz w:val="30"/>
          <w:szCs w:val="30"/>
          <w:lang w:val="en-GB" w:eastAsia="zh-CN" w:bidi="my-MM"/>
        </w:rPr>
      </w:pPr>
      <w:r>
        <w:rPr>
          <w:rFonts w:cs="Calibri" w:cstheme="minorHAnsi"/>
          <w:sz w:val="30"/>
          <w:szCs w:val="30"/>
          <w:lang w:val="en-GB" w:eastAsia="zh-CN" w:bidi="my-MM"/>
        </w:rPr>
      </w:r>
    </w:p>
    <w:p>
      <w:pPr>
        <w:pStyle w:val="Normal"/>
        <w:numPr>
          <w:ilvl w:val="0"/>
          <w:numId w:val="0"/>
        </w:numPr>
        <w:spacing w:lineRule="auto" w:line="360"/>
        <w:ind w:left="-567"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0"/>
          <w:szCs w:val="30"/>
          <w:lang w:val="en-GB" w:eastAsia="zh-CN" w:bidi="my-MM"/>
        </w:rPr>
      </w:pPr>
      <w:r>
        <w:rPr>
          <w:rFonts w:cs="Calibr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ind w:left="-567"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0"/>
          <w:szCs w:val="30"/>
          <w:lang w:val="en-GB" w:eastAsia="zh-CN" w:bidi="my-MM"/>
        </w:rPr>
      </w:pPr>
      <w:r>
        <w:rPr>
          <w:rFonts w:cs="Calibri" w:cstheme="minorHAnsi"/>
          <w:b/>
          <w:sz w:val="30"/>
          <w:szCs w:val="30"/>
          <w:lang w:val="en-GB" w:eastAsia="zh-CN" w:bidi="my-MM"/>
        </w:rPr>
        <w:t>STATEMENT</w:t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30"/>
          <w:szCs w:val="30"/>
          <w:lang w:val="en-GB"/>
        </w:rPr>
      </w:pPr>
      <w:r>
        <w:rPr>
          <w:rFonts w:cs="Calibri" w:cstheme="minorHAnsi"/>
          <w:b/>
          <w:b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color w:val="333333"/>
          <w:spacing w:val="-1"/>
          <w:sz w:val="30"/>
          <w:szCs w:val="30"/>
          <w:shd w:fill="FFFFFF" w:val="clear"/>
          <w:lang w:val="en-US"/>
        </w:rPr>
      </w:pPr>
      <w:r>
        <w:rPr>
          <w:rFonts w:cs="Calibri" w:cstheme="minorHAnsi"/>
          <w:b/>
          <w:bCs/>
          <w:sz w:val="30"/>
          <w:szCs w:val="30"/>
          <w:lang w:val="en-GB"/>
        </w:rPr>
        <w:t>Universal Periodic Review 37</w:t>
      </w:r>
      <w:r>
        <w:rPr>
          <w:rFonts w:cs="Calibri" w:cstheme="minorHAnsi"/>
          <w:b/>
          <w:bCs/>
          <w:sz w:val="30"/>
          <w:szCs w:val="30"/>
          <w:vertAlign w:val="superscript"/>
          <w:lang w:val="en-GB"/>
        </w:rPr>
        <w:t>th</w:t>
      </w:r>
      <w:r>
        <w:rPr>
          <w:rFonts w:cs="Calibri" w:cstheme="minorHAnsi"/>
          <w:b/>
          <w:bCs/>
          <w:sz w:val="30"/>
          <w:szCs w:val="30"/>
          <w:lang w:val="en-GB"/>
        </w:rPr>
        <w:t xml:space="preserve"> session</w:t>
        <w:br/>
      </w:r>
      <w:r>
        <w:rPr>
          <w:rStyle w:val="Strong"/>
          <w:rFonts w:cs="Calibri" w:cstheme="minorHAnsi"/>
          <w:color w:val="333333"/>
          <w:spacing w:val="-1"/>
          <w:sz w:val="30"/>
          <w:szCs w:val="30"/>
          <w:shd w:fill="FFFFFF" w:val="clear"/>
          <w:lang w:val="en-US"/>
        </w:rPr>
        <w:t xml:space="preserve">Norway's statement during the 37th UPR session of the Human Rights Council on the human rights situation in Georgia </w:t>
        <w:br/>
        <w:t xml:space="preserve"> </w:t>
      </w:r>
      <w:r>
        <w:rPr>
          <w:rFonts w:cs="Calibr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  <w:br/>
        <w:t>Permanent Representative of Norway</w:t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</w:rPr>
      </w:pPr>
      <w:r>
        <w:rPr>
          <w:rFonts w:cs="Calibri" w:cstheme="minorHAnsi"/>
          <w:b/>
          <w:color w:val="000000" w:themeColor="text1"/>
          <w:sz w:val="30"/>
          <w:szCs w:val="30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</w:rPr>
      </w:pPr>
      <w:r>
        <w:rPr>
          <w:rFonts w:cs="Calibri" w:cstheme="minorHAnsi"/>
          <w:b/>
          <w:color w:val="000000" w:themeColor="text1"/>
          <w:sz w:val="30"/>
          <w:szCs w:val="30"/>
        </w:rPr>
      </w:r>
    </w:p>
    <w:p>
      <w:pPr>
        <w:pStyle w:val="Normal"/>
        <w:spacing w:lineRule="auto" w:line="36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</w:r>
    </w:p>
    <w:p>
      <w:pPr>
        <w:pStyle w:val="Normal"/>
        <w:spacing w:lineRule="auto" w:line="360"/>
        <w:rPr>
          <w:color w:val="000000" w:themeColor="text1"/>
          <w:sz w:val="30"/>
          <w:szCs w:val="30"/>
          <w:lang w:val="en-GB"/>
        </w:rPr>
      </w:pPr>
      <w:r>
        <w:rPr>
          <w:color w:val="000000" w:themeColor="text1"/>
          <w:sz w:val="30"/>
          <w:szCs w:val="30"/>
          <w:lang w:val="en-GB"/>
        </w:rPr>
        <w:t>26 January 2021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jc w:val="right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Check against delivery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Madam President,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 xml:space="preserve">Norway welcomes the positive steps taken since the last review, </w:t>
      </w:r>
      <w:r>
        <w:rPr>
          <w:rFonts w:cs="Calibri" w:cstheme="minorHAnsi"/>
          <w:iCs/>
          <w:sz w:val="30"/>
          <w:szCs w:val="30"/>
          <w:lang w:val="en-GB"/>
        </w:rPr>
        <w:t>i</w:t>
      </w:r>
      <w:r>
        <w:rPr>
          <w:rFonts w:cs="Calibri" w:cstheme="minorHAnsi"/>
          <w:iCs/>
          <w:sz w:val="30"/>
          <w:szCs w:val="30"/>
          <w:lang w:val="en-GB"/>
        </w:rPr>
        <w:t xml:space="preserve">ncluding the establishment of the State Inspector’s Service. 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Norway recommends that Georgia: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1.</w:t>
        <w:tab/>
        <w:t>increases the efforts of political leaders to publicly acknowledge and protect the important role of human rights defenders and independent human rights institutions in the democratisation process;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2.</w:t>
        <w:tab/>
        <w:t>adopts and implements without delay the recommendations from the Venice Commission related to reforms in the system for appointments of judges;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3.</w:t>
        <w:tab/>
        <w:t>strengthens the State Inspector’s Service both institutionally and functionally to enable it to effectively investigate human rights abuses by all types of state employees;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4.</w:t>
        <w:tab/>
        <w:t>ensures the right to just and fair conditions of work by strengthening the Labour Inspectorate to enable it to implement its expanded role under the recently amended Labour Code;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5.</w:t>
        <w:tab/>
        <w:t>takes further measures to combat hate speech and violence against LGBTI-persons.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outlineLvl w:val="0"/>
        <w:rPr>
          <w:rFonts w:ascii="Calibri" w:hAnsi="Calibri" w:cs="Calibri" w:asciiTheme="minorHAnsi" w:cstheme="minorHAnsi" w:hAnsiTheme="minorHAnsi"/>
          <w:iCs/>
          <w:sz w:val="30"/>
          <w:szCs w:val="30"/>
          <w:lang w:val="en-GB"/>
        </w:rPr>
      </w:pPr>
      <w:r>
        <w:rPr>
          <w:rFonts w:cs="Calibri" w:cstheme="minorHAnsi"/>
          <w:iCs/>
          <w:sz w:val="30"/>
          <w:szCs w:val="30"/>
          <w:lang w:val="en-GB"/>
        </w:rPr>
        <w:t>Thank you.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jc w:val="right"/>
        <w:outlineLvl w:val="0"/>
        <w:rPr>
          <w:rFonts w:ascii="Calibri" w:hAnsi="Calibri" w:cs="Calibri" w:asciiTheme="minorHAnsi" w:cstheme="minorHAnsi" w:hAnsiTheme="minorHAnsi"/>
          <w:i/>
          <w:i/>
          <w:iCs/>
          <w:sz w:val="30"/>
          <w:szCs w:val="30"/>
          <w:u w:val="single"/>
          <w:lang w:val="en-GB"/>
        </w:rPr>
      </w:pPr>
      <w:r>
        <w:rPr/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DepCentury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55c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nb-NO" w:val="nb-NO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a4264c"/>
    <w:pPr>
      <w:keepNext w:val="true"/>
      <w:keepLines/>
      <w:spacing w:lineRule="auto" w:line="276" w:before="240" w:after="60"/>
      <w:outlineLvl w:val="0"/>
    </w:pPr>
    <w:rPr>
      <w:rFonts w:ascii="Calibri" w:hAnsi="Calibri" w:eastAsia="" w:cs="" w:asciiTheme="minorHAnsi" w:cstheme="majorBidi" w:eastAsiaTheme="majorEastAsia" w:hAnsiTheme="minorHAnsi"/>
      <w:b/>
      <w:sz w:val="30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utexte2" w:customStyle="1">
    <w:name w:val="Corps du texte (2)_"/>
    <w:basedOn w:val="DefaultParagraphFont"/>
    <w:link w:val="Corpsdutexte20"/>
    <w:qFormat/>
    <w:rsid w:val="00294fcf"/>
    <w:rPr>
      <w:rFonts w:ascii="Arial" w:hAnsi="Arial" w:eastAsia="Arial" w:cs="Arial"/>
      <w:sz w:val="20"/>
      <w:szCs w:val="20"/>
      <w:shd w:fill="FFFFFF" w:val="clear"/>
      <w:lang w:val="it"/>
    </w:rPr>
  </w:style>
  <w:style w:type="character" w:styleId="Corpsdutexte" w:customStyle="1">
    <w:name w:val="Corps du texte_"/>
    <w:basedOn w:val="DefaultParagraphFont"/>
    <w:link w:val="Corpsdutexte0"/>
    <w:qFormat/>
    <w:rsid w:val="00294fcf"/>
    <w:rPr>
      <w:rFonts w:ascii="Arial" w:hAnsi="Arial" w:eastAsia="Arial" w:cs="Arial"/>
      <w:sz w:val="20"/>
      <w:szCs w:val="20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13e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f13ef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13ef"/>
    <w:rPr>
      <w:rFonts w:ascii="Segoe UI" w:hAnsi="Segoe UI" w:cs="Segoe UI"/>
      <w:sz w:val="18"/>
      <w:szCs w:val="18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4264c"/>
    <w:rPr>
      <w:rFonts w:eastAsia="" w:cs="" w:cstheme="majorBidi" w:eastAsiaTheme="majorEastAsia"/>
      <w:b/>
      <w:sz w:val="30"/>
      <w:szCs w:val="32"/>
      <w:lang w:eastAsia="zh-CN"/>
    </w:rPr>
  </w:style>
  <w:style w:type="character" w:styleId="Kulepunkt1Char" w:customStyle="1">
    <w:name w:val="kulepunkt 1 Char"/>
    <w:basedOn w:val="DefaultParagraphFont"/>
    <w:link w:val="kulepunkt1"/>
    <w:qFormat/>
    <w:rsid w:val="00a4264c"/>
    <w:rPr>
      <w:rFonts w:ascii="DepCentury Old Style" w:hAnsi="DepCentury Old Style" w:eastAsia="" w:cs="Iskoola Pota" w:eastAsiaTheme="minorEastAsi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4264c"/>
    <w:rPr>
      <w:rFonts w:ascii="Calibri" w:hAnsi="Calibri" w:cs="Calibri"/>
      <w:lang w:eastAsia="nb-NO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4264c"/>
    <w:rPr>
      <w:rFonts w:ascii="Calibri" w:hAnsi="Calibri" w:cs="Calibri"/>
      <w:lang w:eastAsia="nb-NO"/>
    </w:rPr>
  </w:style>
  <w:style w:type="character" w:styleId="SingleTxtGChar" w:customStyle="1">
    <w:name w:val="_ Single Txt_G Char"/>
    <w:link w:val="SingleTxtG"/>
    <w:qFormat/>
    <w:locked/>
    <w:rsid w:val="006a3b84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rpsdutexte21" w:customStyle="1">
    <w:name w:val="Corps du texte (2)"/>
    <w:basedOn w:val="Normal"/>
    <w:link w:val="Corpsdutexte2"/>
    <w:qFormat/>
    <w:rsid w:val="00294fcf"/>
    <w:pPr>
      <w:widowControl w:val="false"/>
      <w:shd w:val="clear" w:color="auto" w:fill="FFFFFF"/>
      <w:spacing w:lineRule="atLeast" w:line="0" w:before="0" w:after="60"/>
      <w:jc w:val="both"/>
    </w:pPr>
    <w:rPr>
      <w:rFonts w:ascii="Arial" w:hAnsi="Arial" w:eastAsia="Arial" w:cs="Arial"/>
      <w:sz w:val="20"/>
      <w:szCs w:val="20"/>
      <w:lang w:val="it" w:eastAsia="en-US"/>
    </w:rPr>
  </w:style>
  <w:style w:type="paragraph" w:styleId="Corpsdutexte1" w:customStyle="1">
    <w:name w:val="Corps du texte"/>
    <w:basedOn w:val="Normal"/>
    <w:link w:val="Corpsdutexte"/>
    <w:qFormat/>
    <w:rsid w:val="00294fcf"/>
    <w:pPr>
      <w:widowControl w:val="false"/>
      <w:shd w:val="clear" w:color="auto" w:fill="FFFFFF"/>
      <w:spacing w:lineRule="exact" w:line="504" w:before="60" w:after="0"/>
      <w:jc w:val="both"/>
    </w:pPr>
    <w:rPr>
      <w:rFonts w:ascii="Arial" w:hAnsi="Arial" w:eastAsia="Arial" w:cs="Arial"/>
      <w:sz w:val="20"/>
      <w:szCs w:val="20"/>
      <w:lang w:eastAsia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f13ef"/>
    <w:pPr>
      <w:spacing w:before="0" w:after="160"/>
    </w:pPr>
    <w:rPr>
      <w:rFonts w:ascii="Calibri" w:hAnsi="Calibri" w:cs="" w:asciiTheme="minorHAnsi" w:cstheme="minorBid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3ef"/>
    <w:pPr/>
    <w:rPr>
      <w:rFonts w:ascii="Segoe UI" w:hAnsi="Segoe UI" w:cs="Segoe UI"/>
      <w:sz w:val="18"/>
      <w:szCs w:val="18"/>
    </w:rPr>
  </w:style>
  <w:style w:type="paragraph" w:styleId="Kulepunkt1" w:customStyle="1">
    <w:name w:val="kulepunkt 1"/>
    <w:basedOn w:val="ListParagraph"/>
    <w:link w:val="kulepunkt1Char"/>
    <w:qFormat/>
    <w:rsid w:val="00a4264c"/>
    <w:pPr>
      <w:keepLines/>
      <w:numPr>
        <w:ilvl w:val="0"/>
        <w:numId w:val="1"/>
      </w:numPr>
      <w:spacing w:before="0" w:after="120"/>
      <w:ind w:left="714" w:hanging="357"/>
    </w:pPr>
    <w:rPr>
      <w:rFonts w:ascii="DepCentury Old Style" w:hAnsi="DepCentury Old Style" w:eastAsia="" w:cs="Iskoola Pota" w:eastAsiaTheme="minorEastAsia"/>
      <w:sz w:val="32"/>
      <w:szCs w:val="32"/>
      <w:lang w:eastAsia="zh-CN"/>
    </w:rPr>
  </w:style>
  <w:style w:type="paragraph" w:styleId="Kulepunkt2" w:customStyle="1">
    <w:name w:val="kulepunkt 2"/>
    <w:basedOn w:val="Kulepunkt1"/>
    <w:qFormat/>
    <w:rsid w:val="00a4264c"/>
    <w:pPr>
      <w:tabs>
        <w:tab w:val="clear" w:pos="708"/>
        <w:tab w:val="left" w:pos="360" w:leader="none"/>
      </w:tabs>
    </w:pPr>
    <w:rPr/>
  </w:style>
  <w:style w:type="paragraph" w:styleId="ListParagraph">
    <w:name w:val="List Paragraph"/>
    <w:basedOn w:val="Normal"/>
    <w:link w:val="ListParagraphChar"/>
    <w:uiPriority w:val="34"/>
    <w:qFormat/>
    <w:rsid w:val="00a4264c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a42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unhideWhenUsed/>
    <w:rsid w:val="00a42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ingleTxtG" w:customStyle="1">
    <w:name w:val="_ Single Txt_G"/>
    <w:basedOn w:val="Normal"/>
    <w:link w:val="SingleTxtGChar"/>
    <w:qFormat/>
    <w:rsid w:val="006a3b84"/>
    <w:pPr>
      <w:suppressAutoHyphens w:val="true"/>
      <w:spacing w:lineRule="atLeast" w:line="240" w:before="0" w:after="120"/>
      <w:ind w:left="1134" w:right="1134" w:hanging="0"/>
      <w:jc w:val="both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f6f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F6B01-CB72-4CAC-A078-EEA58DB4A86D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CDAF261C-F146-4F70-8E5C-6A058BB34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LibreOffice/7.0.0.3$Windows_X86_64 LibreOffice_project/8061b3e9204bef6b321a21033174034a5e2ea88e</Application>
  <Pages>2</Pages>
  <Words>185</Words>
  <Characters>1075</Characters>
  <CharactersWithSpaces>1280</CharactersWithSpaces>
  <Paragraphs>14</Paragraphs>
  <Company>MFA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dc:description/>
  <cp:lastModifiedBy/>
  <cp:revision>4</cp:revision>
  <cp:lastPrinted>2020-09-23T07:22:00Z</cp:lastPrinted>
  <dcterms:created xsi:type="dcterms:W3CDTF">2021-01-14T11:49:00Z</dcterms:created>
  <dcterms:modified xsi:type="dcterms:W3CDTF">2021-01-24T09:16:04Z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MFA</vt:lpwstr>
  </property>
  <property fmtid="{D5CDD505-2E9C-101B-9397-08002B2CF9AE}" pid="4" name="ContentTypeId">
    <vt:lpwstr>0x01010037C5AC3008AAB14799B0F32C039A8199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