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5.0" w:type="dxa"/>
        <w:jc w:val="left"/>
        <w:tblInd w:w="0.0" w:type="dxa"/>
        <w:tblLayout w:type="fixed"/>
        <w:tblLook w:val="0400"/>
      </w:tblPr>
      <w:tblGrid>
        <w:gridCol w:w="2774"/>
        <w:gridCol w:w="2775"/>
        <w:gridCol w:w="3096"/>
        <w:tblGridChange w:id="0">
          <w:tblGrid>
            <w:gridCol w:w="2774"/>
            <w:gridCol w:w="2775"/>
            <w:gridCol w:w="3096"/>
          </w:tblGrid>
        </w:tblGridChange>
      </w:tblGrid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962025" cy="55245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52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97d"/>
                <w:sz w:val="20"/>
                <w:szCs w:val="20"/>
              </w:rPr>
              <w:drawing>
                <wp:inline distB="0" distT="0" distL="0" distR="0">
                  <wp:extent cx="628650" cy="695325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95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1828800" cy="6000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0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spacing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18"/>
          <w:szCs w:val="18"/>
          <w:rtl w:val="0"/>
        </w:rPr>
        <w:t xml:space="preserve">misIóN PERMANENTE del URUGUAY ante LA OFICINA DE LAS NACIONES UNIDAS Y LAS ORGANIZACIONES INTERNACIONALES CON SEDE EN GINEBRA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37 SESIÓN DEL GRUPO DE TRABAJO DEL EXAMEN PERIÓDICO UNIVERSAL 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EXAMEN DE OMAN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21 de enero de 2021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RECOMENDACIONES DE URUGUAY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Muchas gracias.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Uruguay da la bienvenida a la Delegación de Omán y le agradece la presentación de su informe.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Al felicitarlo por la ratificación del Pacto de Derechos Económicos, Sociales y Culturales y otros tratados de derechos humanos, con espíritu constructivo, Uruguay recomienda:  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Retirar las referencias de la legislación nacional que criminalizan el ejercicio pacífico de los derechos de libertad de expresión, reunión y asociación, asegurando que este sea compatible y consistente con las obligaciones y estándares internacionales de derechos humanos. 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Establecer una moratoria legal a las ejecuciones con vistas a la abolición definitiva de la pena de muerte.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3.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Dando seguimiento a sus recomendaciones del ciclo pasado, Uruguay recomienda revisar la legislación que sea discriminatoria por motivos de género, especialmente la relativa a derechos en el matrimonio, divorcio y herencia, garantizando el derecho de las madres a transferir la nacionalidad a sus hijos.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Por último, Uruguay alienta a Omán a implementar las recomendaciones aceptadas. 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Muchas gracias.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C0BA6-EEA0-4228-8CF8-BCD4A192E119}"/>
</file>

<file path=customXml/itemProps2.xml><?xml version="1.0" encoding="utf-8"?>
<ds:datastoreItem xmlns:ds="http://schemas.openxmlformats.org/officeDocument/2006/customXml" ds:itemID="{7684CCB1-01CD-452C-B884-D648BD8118CF}"/>
</file>

<file path=customXml/itemProps3.xml><?xml version="1.0" encoding="utf-8"?>
<ds:datastoreItem xmlns:ds="http://schemas.openxmlformats.org/officeDocument/2006/customXml" ds:itemID="{A8CC0C7B-FB22-40AD-AAE7-0C8E7E1EF650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