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0.0" w:type="dxa"/>
        <w:tblLayout w:type="fixed"/>
        <w:tblLook w:val="0400"/>
      </w:tblPr>
      <w:tblGrid>
        <w:gridCol w:w="2774"/>
        <w:gridCol w:w="2775"/>
        <w:gridCol w:w="3096"/>
        <w:tblGridChange w:id="0">
          <w:tblGrid>
            <w:gridCol w:w="2774"/>
            <w:gridCol w:w="2775"/>
            <w:gridCol w:w="3096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62025" cy="55245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0"/>
                <w:szCs w:val="20"/>
              </w:rPr>
              <w:drawing>
                <wp:inline distB="0" distT="0" distL="0" distR="0">
                  <wp:extent cx="628650" cy="69532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828800" cy="60007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18"/>
          <w:szCs w:val="18"/>
          <w:rtl w:val="0"/>
        </w:rPr>
        <w:t xml:space="preserve">misIóN PERMANENTE del URUGUAY ante LA OFICINA DE LAS NACIONES UNIDAS Y LAS ORGANIZACIONES INTERNACIONALES CON SEDE EN GINEBRA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37 SESIÓN DEL GRUPO DE TRABAJO DEL EXAMEN PERIÓDICO UNIVERSAL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EXAMEN DE AUSTRIA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21 de enero de 2021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RECOMENDACIONES DE URUGUAY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Uruguay da la bienvenida a la Delegación de Austria y le agradece la presentación de su informe nacional.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felicitamos particularmente por la efectiva mejora de las disposiciones legales para combatir el racismo y delitos y discurso de odio.  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espíritu constructivo, y en base al compromiso ya demostrado, Uruguay recomienda:  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</w:t>
        <w:tab/>
        <w:t xml:space="preserve">Revisar la sección 35 (2) de la ley de asilo, concediendo el derecho a la reunificación familiar sin restricciones indebidas, en particular a los menores no acompañados.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2) </w:t>
        <w:tab/>
        <w:t xml:space="preserve">Asegurar la inmediata asignación de un guardián legal a todos los menores no acompañados o separados de sus familias que arriben al país, sin retrasos ni precondiciones.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3) </w:t>
        <w:tab/>
        <w:t xml:space="preserve">Garantizar los mismos estándares de protección y bienestar a todos los niños que se encuentran en el país, sin importar su nacionalidad.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4) </w:t>
        <w:tab/>
        <w:t xml:space="preserve">Fortalecer el marco legislativo para prohibir expresamente cualquier práctica que modifique las características sexuales de una persona sin razones médicas fundadas o sin el consentimiento pleno de la persona.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Muchas gracias.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BEE3B-FD10-4B98-A335-874B679EDBF8}"/>
</file>

<file path=customXml/itemProps2.xml><?xml version="1.0" encoding="utf-8"?>
<ds:datastoreItem xmlns:ds="http://schemas.openxmlformats.org/officeDocument/2006/customXml" ds:itemID="{848FBA2B-698B-4E51-9149-1DDBC5A05071}"/>
</file>

<file path=customXml/itemProps3.xml><?xml version="1.0" encoding="utf-8"?>
<ds:datastoreItem xmlns:ds="http://schemas.openxmlformats.org/officeDocument/2006/customXml" ds:itemID="{782FB54C-82A1-472E-AA5E-94E29ECF1E8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