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C5" w:rsidRPr="00D91907" w:rsidRDefault="00351EC5" w:rsidP="00351EC5">
      <w:pPr>
        <w:jc w:val="center"/>
        <w:rPr>
          <w:rFonts w:ascii="Arial" w:hAnsi="Arial" w:cs="Arial"/>
          <w:b/>
          <w:color w:val="000000" w:themeColor="text1"/>
          <w:sz w:val="56"/>
          <w:szCs w:val="56"/>
        </w:rPr>
      </w:pPr>
      <w:r w:rsidRPr="00D91907">
        <w:rPr>
          <w:rFonts w:ascii="Arial" w:hAnsi="Arial" w:cs="Arial"/>
          <w:b/>
          <w:color w:val="000000" w:themeColor="text1"/>
          <w:sz w:val="56"/>
          <w:szCs w:val="56"/>
        </w:rPr>
        <w:t>GEORGIA</w:t>
      </w:r>
    </w:p>
    <w:p w:rsidR="00351EC5" w:rsidRPr="00D91907" w:rsidRDefault="00351EC5" w:rsidP="00351EC5">
      <w:pPr>
        <w:jc w:val="center"/>
        <w:rPr>
          <w:rFonts w:ascii="Arial" w:hAnsi="Arial" w:cs="Arial"/>
          <w:b/>
          <w:color w:val="000000" w:themeColor="text1"/>
          <w:sz w:val="28"/>
          <w:szCs w:val="28"/>
        </w:rPr>
      </w:pPr>
    </w:p>
    <w:p w:rsidR="00351EC5" w:rsidRPr="00D91907" w:rsidRDefault="00351EC5" w:rsidP="00351EC5">
      <w:pPr>
        <w:jc w:val="center"/>
        <w:rPr>
          <w:rFonts w:ascii="Arial" w:hAnsi="Arial" w:cs="Arial"/>
          <w:b/>
          <w:color w:val="000000" w:themeColor="text1"/>
        </w:rPr>
      </w:pPr>
      <w:r w:rsidRPr="00D91907">
        <w:rPr>
          <w:rFonts w:ascii="Arial" w:hAnsi="Arial" w:cs="Arial"/>
          <w:b/>
          <w:color w:val="000000" w:themeColor="text1"/>
        </w:rPr>
        <w:t>THE 37</w:t>
      </w:r>
      <w:r w:rsidRPr="00D91907">
        <w:rPr>
          <w:rFonts w:ascii="Arial" w:hAnsi="Arial" w:cs="Arial"/>
          <w:b/>
          <w:color w:val="000000" w:themeColor="text1"/>
          <w:vertAlign w:val="superscript"/>
        </w:rPr>
        <w:t>TH</w:t>
      </w:r>
      <w:r w:rsidRPr="00D91907">
        <w:rPr>
          <w:rFonts w:ascii="Arial" w:hAnsi="Arial" w:cs="Arial"/>
          <w:b/>
          <w:color w:val="000000" w:themeColor="text1"/>
        </w:rPr>
        <w:t xml:space="preserve"> SESSION OF THE UPR WORKING GROUP</w:t>
      </w:r>
    </w:p>
    <w:p w:rsidR="00351EC5" w:rsidRPr="00D91907" w:rsidRDefault="00351EC5" w:rsidP="00351EC5">
      <w:pPr>
        <w:jc w:val="center"/>
        <w:rPr>
          <w:rFonts w:ascii="Arial" w:hAnsi="Arial" w:cs="Arial"/>
          <w:b/>
          <w:color w:val="000000" w:themeColor="text1"/>
        </w:rPr>
      </w:pPr>
      <w:r>
        <w:rPr>
          <w:rFonts w:ascii="Arial" w:hAnsi="Arial" w:cs="Arial"/>
          <w:b/>
          <w:color w:val="000000" w:themeColor="text1"/>
        </w:rPr>
        <w:t>UPR OF MYANMAR</w:t>
      </w:r>
    </w:p>
    <w:p w:rsidR="00351EC5" w:rsidRPr="00D91907" w:rsidRDefault="00351EC5" w:rsidP="00351EC5">
      <w:pPr>
        <w:jc w:val="right"/>
        <w:rPr>
          <w:rFonts w:ascii="Arial" w:hAnsi="Arial" w:cs="Arial"/>
          <w:b/>
          <w:color w:val="000000" w:themeColor="text1"/>
        </w:rPr>
      </w:pPr>
    </w:p>
    <w:p w:rsidR="00351EC5" w:rsidRPr="00FC39E2" w:rsidRDefault="00351EC5" w:rsidP="00351EC5">
      <w:pPr>
        <w:ind w:right="360"/>
        <w:jc w:val="right"/>
        <w:rPr>
          <w:rFonts w:ascii="Sylfaen" w:eastAsia="Calibri" w:hAnsi="Sylfaen" w:cs="Arial"/>
        </w:rPr>
      </w:pPr>
      <w:r w:rsidRPr="00D91907">
        <w:rPr>
          <w:rFonts w:ascii="Arial" w:hAnsi="Arial" w:cs="Arial"/>
          <w:b/>
          <w:color w:val="000000" w:themeColor="text1"/>
        </w:rPr>
        <w:t xml:space="preserve">Geneva, </w:t>
      </w:r>
      <w:r>
        <w:rPr>
          <w:rFonts w:ascii="Arial" w:hAnsi="Arial" w:cs="Arial"/>
          <w:b/>
          <w:color w:val="000000" w:themeColor="text1"/>
          <w:lang w:val="ka-GE"/>
        </w:rPr>
        <w:t>25</w:t>
      </w:r>
      <w:r w:rsidRPr="00E94285">
        <w:rPr>
          <w:rFonts w:ascii="Arial" w:hAnsi="Arial" w:cs="Arial"/>
          <w:b/>
          <w:color w:val="000000" w:themeColor="text1"/>
          <w:lang w:val="ka-GE"/>
        </w:rPr>
        <w:t xml:space="preserve"> </w:t>
      </w:r>
      <w:r w:rsidRPr="00D91907">
        <w:rPr>
          <w:rFonts w:ascii="Arial" w:hAnsi="Arial" w:cs="Arial"/>
          <w:b/>
          <w:color w:val="000000" w:themeColor="text1"/>
        </w:rPr>
        <w:t>January 2021</w:t>
      </w:r>
    </w:p>
    <w:p w:rsidR="00AA2A2C" w:rsidRDefault="00AA2A2C"/>
    <w:p w:rsidR="00351EC5" w:rsidRDefault="00351EC5"/>
    <w:p w:rsidR="00351EC5" w:rsidRDefault="00351EC5" w:rsidP="00351EC5">
      <w:pPr>
        <w:jc w:val="both"/>
        <w:rPr>
          <w:rFonts w:ascii="Sylfaen" w:hAnsi="Sylfaen"/>
        </w:rPr>
      </w:pPr>
      <w:r w:rsidRPr="00351EC5">
        <w:rPr>
          <w:rFonts w:ascii="Sylfaen" w:hAnsi="Sylfaen"/>
        </w:rPr>
        <w:t>Georgia welcomes the Delegation of Myanmar and thanks the Head of Delegation for the presentation of the national report.</w:t>
      </w:r>
    </w:p>
    <w:p w:rsidR="00351EC5" w:rsidRPr="00351EC5" w:rsidRDefault="00351EC5" w:rsidP="00351EC5">
      <w:pPr>
        <w:jc w:val="both"/>
        <w:rPr>
          <w:rFonts w:ascii="Sylfaen" w:hAnsi="Sylfaen"/>
        </w:rPr>
      </w:pPr>
    </w:p>
    <w:p w:rsidR="00351EC5" w:rsidRDefault="00351EC5" w:rsidP="00351EC5">
      <w:pPr>
        <w:jc w:val="both"/>
        <w:rPr>
          <w:rFonts w:ascii="Sylfaen" w:hAnsi="Sylfaen"/>
        </w:rPr>
      </w:pPr>
      <w:r w:rsidRPr="00351EC5">
        <w:rPr>
          <w:rFonts w:ascii="Sylfaen" w:hAnsi="Sylfaen"/>
        </w:rPr>
        <w:t>We acknowledge steps taken by the Government of Myanmar to implement recommendations from previous cycle. In this regard, we welcome the establishment of the Myanmar Human Rights Commission and are encouraged that the Commission prepared a draft strategic plan for the period 2020–2024.</w:t>
      </w:r>
    </w:p>
    <w:p w:rsidR="00351EC5" w:rsidRPr="00351EC5" w:rsidRDefault="00351EC5" w:rsidP="00351EC5">
      <w:pPr>
        <w:jc w:val="both"/>
        <w:rPr>
          <w:rFonts w:ascii="Sylfaen" w:hAnsi="Sylfaen"/>
        </w:rPr>
      </w:pPr>
    </w:p>
    <w:p w:rsidR="00351EC5" w:rsidRDefault="00351EC5" w:rsidP="00351EC5">
      <w:pPr>
        <w:jc w:val="both"/>
        <w:rPr>
          <w:rFonts w:ascii="Sylfaen" w:hAnsi="Sylfaen"/>
        </w:rPr>
      </w:pPr>
      <w:r w:rsidRPr="00351EC5">
        <w:rPr>
          <w:rFonts w:ascii="Sylfaen" w:hAnsi="Sylfaen"/>
        </w:rPr>
        <w:t>Georgia positively notes Myanmar’s efforts to eradicate forced labor and encourages the Government to further accelerate efforts to eliminate the forced labor in all its forms.</w:t>
      </w:r>
    </w:p>
    <w:p w:rsidR="00351EC5" w:rsidRPr="00351EC5" w:rsidRDefault="00351EC5" w:rsidP="00351EC5">
      <w:pPr>
        <w:jc w:val="both"/>
        <w:rPr>
          <w:rFonts w:ascii="Sylfaen" w:hAnsi="Sylfaen"/>
        </w:rPr>
      </w:pPr>
    </w:p>
    <w:p w:rsidR="00351EC5" w:rsidRDefault="00351EC5" w:rsidP="00351EC5">
      <w:pPr>
        <w:jc w:val="both"/>
        <w:rPr>
          <w:rFonts w:ascii="Sylfaen" w:hAnsi="Sylfaen"/>
        </w:rPr>
      </w:pPr>
      <w:r w:rsidRPr="00351EC5">
        <w:rPr>
          <w:rFonts w:ascii="Sylfaen" w:hAnsi="Sylfaen"/>
        </w:rPr>
        <w:t>Georgia would like to recommend to the Government of Myanmar:</w:t>
      </w:r>
    </w:p>
    <w:p w:rsidR="00351EC5" w:rsidRPr="00351EC5" w:rsidRDefault="00351EC5" w:rsidP="00351EC5">
      <w:pPr>
        <w:jc w:val="both"/>
        <w:rPr>
          <w:rFonts w:ascii="Sylfaen" w:hAnsi="Sylfaen"/>
        </w:rPr>
      </w:pPr>
    </w:p>
    <w:p w:rsidR="00351EC5" w:rsidRDefault="00351EC5" w:rsidP="00351EC5">
      <w:pPr>
        <w:pStyle w:val="ListParagraph"/>
        <w:numPr>
          <w:ilvl w:val="0"/>
          <w:numId w:val="1"/>
        </w:numPr>
        <w:jc w:val="both"/>
        <w:rPr>
          <w:rFonts w:ascii="Sylfaen" w:hAnsi="Sylfaen"/>
        </w:rPr>
      </w:pPr>
      <w:r w:rsidRPr="00351EC5">
        <w:rPr>
          <w:rFonts w:ascii="Sylfaen" w:hAnsi="Sylfaen"/>
        </w:rPr>
        <w:t>To intensify efforts to address the gender based discri</w:t>
      </w:r>
      <w:r>
        <w:rPr>
          <w:rFonts w:ascii="Sylfaen" w:hAnsi="Sylfaen"/>
        </w:rPr>
        <w:t>mination and violence;</w:t>
      </w:r>
    </w:p>
    <w:p w:rsidR="00351EC5" w:rsidRPr="00351EC5" w:rsidRDefault="00351EC5" w:rsidP="00351EC5">
      <w:pPr>
        <w:pStyle w:val="ListParagraph"/>
        <w:jc w:val="both"/>
        <w:rPr>
          <w:rFonts w:ascii="Sylfaen" w:hAnsi="Sylfaen"/>
        </w:rPr>
      </w:pPr>
    </w:p>
    <w:p w:rsidR="00351EC5" w:rsidRDefault="00351EC5" w:rsidP="00351EC5">
      <w:pPr>
        <w:pStyle w:val="ListParagraph"/>
        <w:numPr>
          <w:ilvl w:val="0"/>
          <w:numId w:val="1"/>
        </w:numPr>
        <w:jc w:val="both"/>
        <w:rPr>
          <w:rFonts w:ascii="Sylfaen" w:hAnsi="Sylfaen"/>
        </w:rPr>
      </w:pPr>
      <w:r w:rsidRPr="00351EC5">
        <w:rPr>
          <w:rFonts w:ascii="Sylfaen" w:hAnsi="Sylfaen"/>
        </w:rPr>
        <w:t>To take all necessary measures to investigate the cases of violence and discrimination against ethni</w:t>
      </w:r>
      <w:r>
        <w:rPr>
          <w:rFonts w:ascii="Sylfaen" w:hAnsi="Sylfaen"/>
        </w:rPr>
        <w:t>c and religious minority groups;</w:t>
      </w:r>
    </w:p>
    <w:p w:rsidR="00351EC5" w:rsidRPr="00351EC5" w:rsidRDefault="00351EC5" w:rsidP="00351EC5">
      <w:pPr>
        <w:pStyle w:val="ListParagraph"/>
        <w:jc w:val="both"/>
        <w:rPr>
          <w:rFonts w:ascii="Sylfaen" w:hAnsi="Sylfaen"/>
        </w:rPr>
      </w:pPr>
    </w:p>
    <w:p w:rsidR="00351EC5" w:rsidRDefault="00351EC5" w:rsidP="00351EC5">
      <w:pPr>
        <w:pStyle w:val="ListParagraph"/>
        <w:numPr>
          <w:ilvl w:val="0"/>
          <w:numId w:val="1"/>
        </w:numPr>
        <w:jc w:val="both"/>
        <w:rPr>
          <w:rFonts w:ascii="Sylfaen" w:hAnsi="Sylfaen"/>
        </w:rPr>
      </w:pPr>
      <w:r w:rsidRPr="00351EC5">
        <w:rPr>
          <w:rFonts w:ascii="Sylfaen" w:hAnsi="Sylfaen"/>
        </w:rPr>
        <w:t>To take further steps to address the issue of the safe, voluntary and dignified return of internally displaced persons to their places of origin.</w:t>
      </w:r>
    </w:p>
    <w:p w:rsidR="00351EC5" w:rsidRPr="00351EC5" w:rsidRDefault="00351EC5" w:rsidP="00351EC5">
      <w:pPr>
        <w:pStyle w:val="ListParagraph"/>
        <w:rPr>
          <w:rFonts w:ascii="Sylfaen" w:hAnsi="Sylfaen"/>
        </w:rPr>
      </w:pPr>
    </w:p>
    <w:p w:rsidR="00351EC5" w:rsidRPr="00351EC5" w:rsidRDefault="00351EC5" w:rsidP="00351EC5">
      <w:pPr>
        <w:pStyle w:val="ListParagraph"/>
        <w:ind w:left="0"/>
        <w:jc w:val="both"/>
        <w:rPr>
          <w:rFonts w:ascii="Sylfaen" w:hAnsi="Sylfaen"/>
        </w:rPr>
      </w:pPr>
      <w:r>
        <w:rPr>
          <w:rFonts w:ascii="Sylfaen" w:hAnsi="Sylfaen"/>
        </w:rPr>
        <w:t>We wish Myanmar a successful UPR.</w:t>
      </w:r>
      <w:bookmarkStart w:id="0" w:name="_GoBack"/>
      <w:bookmarkEnd w:id="0"/>
    </w:p>
    <w:sectPr w:rsidR="00351EC5" w:rsidRPr="0035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12132"/>
    <w:multiLevelType w:val="hybridMultilevel"/>
    <w:tmpl w:val="B9B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C5"/>
    <w:rsid w:val="00351EC5"/>
    <w:rsid w:val="00AA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6333"/>
  <w15:chartTrackingRefBased/>
  <w15:docId w15:val="{BA0B7FD3-9268-484D-94B8-63E1DB1D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C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54C14-756F-44BD-9ABE-4C6BCFBC6A54}"/>
</file>

<file path=customXml/itemProps2.xml><?xml version="1.0" encoding="utf-8"?>
<ds:datastoreItem xmlns:ds="http://schemas.openxmlformats.org/officeDocument/2006/customXml" ds:itemID="{FCCA5EA2-9DF0-4EA2-AD00-E0D191933547}"/>
</file>

<file path=customXml/itemProps3.xml><?xml version="1.0" encoding="utf-8"?>
<ds:datastoreItem xmlns:ds="http://schemas.openxmlformats.org/officeDocument/2006/customXml" ds:itemID="{1CDBE4BF-3140-4313-BB61-DD2AE6DAEE67}"/>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Baqradze</dc:creator>
  <cp:keywords/>
  <dc:description/>
  <cp:lastModifiedBy>Nino Baqradze</cp:lastModifiedBy>
  <cp:revision>1</cp:revision>
  <dcterms:created xsi:type="dcterms:W3CDTF">2021-01-21T16:32:00Z</dcterms:created>
  <dcterms:modified xsi:type="dcterms:W3CDTF">2021-01-21T16:35:00Z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