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F99140" w14:textId="08C31034" w:rsidR="00C11B1C" w:rsidRPr="00C11B1C" w:rsidRDefault="00C11B1C" w:rsidP="00C11B1C">
      <w:pPr>
        <w:jc w:val="center"/>
        <w:rPr>
          <w:rFonts w:ascii="Arial" w:hAnsi="Arial" w:cs="Arial"/>
          <w:b/>
          <w:lang w:val="en-CA" w:eastAsia="en-CA"/>
        </w:rPr>
      </w:pPr>
      <w:r w:rsidRPr="00C11B1C">
        <w:rPr>
          <w:rFonts w:ascii="Arial" w:hAnsi="Arial" w:cs="Arial"/>
          <w:b/>
          <w:lang w:val="en-CA" w:eastAsia="en-CA"/>
        </w:rPr>
        <w:t>UPR37</w:t>
      </w:r>
    </w:p>
    <w:p w14:paraId="3E5161D9" w14:textId="71B134E3" w:rsidR="00C11B1C" w:rsidRPr="00C11B1C" w:rsidRDefault="00C11B1C" w:rsidP="00C11B1C">
      <w:pPr>
        <w:jc w:val="center"/>
        <w:rPr>
          <w:rFonts w:ascii="Arial" w:hAnsi="Arial" w:cs="Arial"/>
          <w:b/>
          <w:lang w:val="en-CA" w:eastAsia="en-CA"/>
        </w:rPr>
      </w:pPr>
      <w:r w:rsidRPr="00C11B1C">
        <w:rPr>
          <w:rFonts w:ascii="Arial" w:hAnsi="Arial" w:cs="Arial"/>
          <w:b/>
          <w:lang w:val="en-CA" w:eastAsia="en-CA"/>
        </w:rPr>
        <w:t>25 January 2021</w:t>
      </w:r>
    </w:p>
    <w:p w14:paraId="526DFC4A" w14:textId="1CEAB278" w:rsidR="00C11B1C" w:rsidRPr="00C11B1C" w:rsidRDefault="00C11B1C" w:rsidP="00C11B1C">
      <w:pPr>
        <w:jc w:val="center"/>
        <w:rPr>
          <w:rFonts w:ascii="Arial" w:hAnsi="Arial" w:cs="Arial"/>
          <w:b/>
          <w:lang w:val="en-CA" w:eastAsia="en-CA"/>
        </w:rPr>
      </w:pPr>
      <w:r w:rsidRPr="00C11B1C">
        <w:rPr>
          <w:rFonts w:ascii="Arial" w:hAnsi="Arial" w:cs="Arial"/>
          <w:b/>
          <w:lang w:val="en-CA" w:eastAsia="en-CA"/>
        </w:rPr>
        <w:t>Recommendations by Canada for Myanmar’s UPR</w:t>
      </w:r>
    </w:p>
    <w:p w14:paraId="60748D94" w14:textId="77777777" w:rsidR="00C11B1C" w:rsidRPr="00C11B1C" w:rsidRDefault="00C11B1C" w:rsidP="00C11B1C">
      <w:pPr>
        <w:rPr>
          <w:rFonts w:ascii="Arial" w:hAnsi="Arial" w:cs="Arial"/>
          <w:b/>
          <w:lang w:val="en-CA"/>
        </w:rPr>
      </w:pPr>
    </w:p>
    <w:p w14:paraId="726859C7" w14:textId="77777777" w:rsidR="00C11B1C" w:rsidRPr="00C11B1C" w:rsidRDefault="00C11B1C" w:rsidP="00C11B1C">
      <w:pPr>
        <w:rPr>
          <w:rFonts w:ascii="Arial" w:hAnsi="Arial" w:cs="Arial"/>
          <w:lang w:val="en-CA"/>
        </w:rPr>
      </w:pPr>
      <w:r w:rsidRPr="00C11B1C">
        <w:rPr>
          <w:rFonts w:ascii="Arial" w:hAnsi="Arial" w:cs="Arial"/>
          <w:lang w:val="en-CA"/>
        </w:rPr>
        <w:t>Thank you, Madam President.</w:t>
      </w:r>
    </w:p>
    <w:p w14:paraId="28492087" w14:textId="77777777" w:rsidR="00C11B1C" w:rsidRPr="00C11B1C" w:rsidRDefault="00C11B1C" w:rsidP="00C11B1C">
      <w:pPr>
        <w:rPr>
          <w:rFonts w:ascii="Arial" w:hAnsi="Arial" w:cs="Arial"/>
          <w:lang w:val="en-CA"/>
        </w:rPr>
      </w:pPr>
    </w:p>
    <w:p w14:paraId="1871B0FD" w14:textId="77777777" w:rsidR="00C11B1C" w:rsidRPr="00C11B1C" w:rsidRDefault="00C11B1C" w:rsidP="00C11B1C">
      <w:pPr>
        <w:rPr>
          <w:rFonts w:ascii="Arial" w:hAnsi="Arial" w:cs="Arial"/>
          <w:lang w:val="en-CA"/>
        </w:rPr>
      </w:pPr>
      <w:r w:rsidRPr="00C11B1C">
        <w:rPr>
          <w:rFonts w:ascii="Arial" w:hAnsi="Arial" w:cs="Arial"/>
          <w:lang w:val="en-CA"/>
        </w:rPr>
        <w:t xml:space="preserve">Canada recognizes some actions since Myanmar’s last UPR, including passage of the Child Rights Law. </w:t>
      </w:r>
    </w:p>
    <w:p w14:paraId="5C9F9A7F" w14:textId="77777777" w:rsidR="00C11B1C" w:rsidRPr="00C11B1C" w:rsidRDefault="00C11B1C" w:rsidP="00C11B1C">
      <w:pPr>
        <w:rPr>
          <w:rFonts w:ascii="Arial" w:hAnsi="Arial" w:cs="Arial"/>
          <w:lang w:val="en-CA"/>
        </w:rPr>
      </w:pPr>
    </w:p>
    <w:p w14:paraId="71F6EA00" w14:textId="77777777" w:rsidR="00C11B1C" w:rsidRPr="00C11B1C" w:rsidRDefault="00C11B1C" w:rsidP="00C11B1C">
      <w:pPr>
        <w:rPr>
          <w:rFonts w:ascii="Arial" w:hAnsi="Arial" w:cs="Arial"/>
          <w:lang w:val="en-CA"/>
        </w:rPr>
      </w:pPr>
      <w:r w:rsidRPr="00C11B1C">
        <w:rPr>
          <w:rFonts w:ascii="Arial" w:hAnsi="Arial" w:cs="Arial"/>
          <w:lang w:val="en-CA"/>
        </w:rPr>
        <w:t>Canada recommends that Myanmar:</w:t>
      </w:r>
    </w:p>
    <w:p w14:paraId="287C0979" w14:textId="77777777" w:rsidR="00C11B1C" w:rsidRPr="00C11B1C" w:rsidRDefault="00C11B1C" w:rsidP="00C11B1C">
      <w:pPr>
        <w:rPr>
          <w:rFonts w:ascii="Arial" w:hAnsi="Arial" w:cs="Arial"/>
          <w:lang w:val="en-CA"/>
        </w:rPr>
      </w:pPr>
    </w:p>
    <w:p w14:paraId="39842A05" w14:textId="77777777" w:rsidR="00C11B1C" w:rsidRPr="00C11B1C" w:rsidRDefault="00C11B1C" w:rsidP="00C11B1C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11B1C">
        <w:rPr>
          <w:rFonts w:ascii="Arial" w:hAnsi="Arial" w:cs="Arial"/>
          <w:sz w:val="24"/>
          <w:szCs w:val="24"/>
        </w:rPr>
        <w:t>Ratify and fully implement all remaining international human rights treaties.</w:t>
      </w:r>
    </w:p>
    <w:p w14:paraId="1E4CCB19" w14:textId="77777777" w:rsidR="00C11B1C" w:rsidRPr="00C11B1C" w:rsidRDefault="00C11B1C" w:rsidP="00C11B1C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03184A4A" w14:textId="6BA68098" w:rsidR="00C11B1C" w:rsidRPr="00C11B1C" w:rsidRDefault="00C11B1C" w:rsidP="00C11B1C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="Arial" w:hAnsi="Arial" w:cs="Arial"/>
          <w:sz w:val="24"/>
          <w:szCs w:val="24"/>
          <w:lang w:eastAsia="en-CA"/>
        </w:rPr>
      </w:pPr>
      <w:r w:rsidRPr="00C11B1C">
        <w:rPr>
          <w:rFonts w:ascii="Arial" w:hAnsi="Arial" w:cs="Arial"/>
          <w:sz w:val="24"/>
          <w:szCs w:val="24"/>
        </w:rPr>
        <w:t xml:space="preserve">Hold security forces accountable for gross human rights violations </w:t>
      </w:r>
      <w:r w:rsidR="00CE38F7">
        <w:rPr>
          <w:rFonts w:ascii="Arial" w:hAnsi="Arial" w:cs="Arial"/>
          <w:sz w:val="24"/>
          <w:szCs w:val="24"/>
        </w:rPr>
        <w:t xml:space="preserve">and fully cooperate </w:t>
      </w:r>
      <w:r w:rsidRPr="00C11B1C">
        <w:rPr>
          <w:rFonts w:ascii="Arial" w:hAnsi="Arial" w:cs="Arial"/>
          <w:sz w:val="24"/>
          <w:szCs w:val="24"/>
        </w:rPr>
        <w:t>with international courts and accountability mechanisms, and ensuring full compliance with the ICJ’s provisional measures order.</w:t>
      </w:r>
    </w:p>
    <w:p w14:paraId="55E6A1F1" w14:textId="77777777" w:rsidR="00C11B1C" w:rsidRPr="00C11B1C" w:rsidRDefault="00C11B1C" w:rsidP="00C11B1C">
      <w:pPr>
        <w:pStyle w:val="ListParagraph"/>
        <w:rPr>
          <w:rFonts w:ascii="Arial" w:hAnsi="Arial" w:cs="Arial"/>
          <w:sz w:val="24"/>
          <w:szCs w:val="24"/>
          <w:lang w:eastAsia="en-CA"/>
        </w:rPr>
      </w:pPr>
      <w:bookmarkStart w:id="0" w:name="_GoBack"/>
      <w:bookmarkEnd w:id="0"/>
    </w:p>
    <w:p w14:paraId="0BDF8913" w14:textId="77777777" w:rsidR="00C11B1C" w:rsidRPr="00C11B1C" w:rsidRDefault="00C11B1C" w:rsidP="00C11B1C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="Arial" w:hAnsi="Arial" w:cs="Arial"/>
          <w:sz w:val="24"/>
          <w:szCs w:val="24"/>
          <w:lang w:eastAsia="en-CA"/>
        </w:rPr>
      </w:pPr>
      <w:r w:rsidRPr="00C11B1C">
        <w:rPr>
          <w:rFonts w:ascii="Arial" w:hAnsi="Arial" w:cs="Arial"/>
          <w:sz w:val="24"/>
          <w:szCs w:val="24"/>
        </w:rPr>
        <w:t xml:space="preserve">Amend or repeal the 1982 Citizenship Law to eliminate legal discrimination on the basis of ethnic, racial or religious identity; and fully implement the recommendations of the </w:t>
      </w:r>
      <w:proofErr w:type="spellStart"/>
      <w:r w:rsidRPr="00C11B1C">
        <w:rPr>
          <w:rFonts w:ascii="Arial" w:hAnsi="Arial" w:cs="Arial"/>
          <w:sz w:val="24"/>
          <w:szCs w:val="24"/>
        </w:rPr>
        <w:t>Rakhine</w:t>
      </w:r>
      <w:proofErr w:type="spellEnd"/>
      <w:r w:rsidRPr="00C11B1C">
        <w:rPr>
          <w:rFonts w:ascii="Arial" w:hAnsi="Arial" w:cs="Arial"/>
          <w:sz w:val="24"/>
          <w:szCs w:val="24"/>
        </w:rPr>
        <w:t xml:space="preserve"> Advisory Commission.</w:t>
      </w:r>
    </w:p>
    <w:p w14:paraId="199A6550" w14:textId="77777777" w:rsidR="00C11B1C" w:rsidRPr="00C11B1C" w:rsidRDefault="00C11B1C" w:rsidP="00C11B1C">
      <w:pPr>
        <w:pStyle w:val="ListParagraph"/>
        <w:rPr>
          <w:rFonts w:ascii="Arial" w:hAnsi="Arial" w:cs="Arial"/>
          <w:sz w:val="24"/>
          <w:szCs w:val="24"/>
          <w:lang w:eastAsia="en-CA"/>
        </w:rPr>
      </w:pPr>
    </w:p>
    <w:p w14:paraId="532D6582" w14:textId="77777777" w:rsidR="00C11B1C" w:rsidRPr="00C11B1C" w:rsidRDefault="00C11B1C" w:rsidP="00C11B1C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="Arial" w:hAnsi="Arial" w:cs="Arial"/>
          <w:sz w:val="24"/>
          <w:szCs w:val="24"/>
          <w:lang w:eastAsia="en-CA"/>
        </w:rPr>
      </w:pPr>
      <w:r w:rsidRPr="00C11B1C">
        <w:rPr>
          <w:rFonts w:ascii="Arial" w:hAnsi="Arial" w:cs="Arial"/>
          <w:sz w:val="24"/>
          <w:szCs w:val="24"/>
          <w:lang w:eastAsia="en-CA"/>
        </w:rPr>
        <w:t xml:space="preserve">Ensure that all parties to conflict cease hostilities, protect civilians, including the </w:t>
      </w:r>
      <w:proofErr w:type="spellStart"/>
      <w:r w:rsidRPr="00C11B1C">
        <w:rPr>
          <w:rFonts w:ascii="Arial" w:hAnsi="Arial" w:cs="Arial"/>
          <w:sz w:val="24"/>
          <w:szCs w:val="24"/>
          <w:lang w:eastAsia="en-CA"/>
        </w:rPr>
        <w:t>Rohingya</w:t>
      </w:r>
      <w:proofErr w:type="spellEnd"/>
      <w:r w:rsidRPr="00C11B1C">
        <w:rPr>
          <w:rFonts w:ascii="Arial" w:hAnsi="Arial" w:cs="Arial"/>
          <w:sz w:val="24"/>
          <w:szCs w:val="24"/>
          <w:lang w:eastAsia="en-CA"/>
        </w:rPr>
        <w:t xml:space="preserve"> and other ethnic and religious minorities, and comply with international humanitarian law</w:t>
      </w:r>
    </w:p>
    <w:p w14:paraId="0F9C15F4" w14:textId="77777777" w:rsidR="00C11B1C" w:rsidRPr="00C11B1C" w:rsidRDefault="00C11B1C" w:rsidP="00C11B1C">
      <w:pPr>
        <w:pStyle w:val="ListParagraph"/>
        <w:rPr>
          <w:rFonts w:ascii="Arial" w:hAnsi="Arial" w:cs="Arial"/>
          <w:sz w:val="24"/>
          <w:szCs w:val="24"/>
          <w:lang w:eastAsia="en-CA"/>
        </w:rPr>
      </w:pPr>
    </w:p>
    <w:p w14:paraId="7202F06E" w14:textId="77777777" w:rsidR="00C11B1C" w:rsidRPr="00C11B1C" w:rsidRDefault="00C11B1C" w:rsidP="00C11B1C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="Arial" w:hAnsi="Arial" w:cs="Arial"/>
          <w:sz w:val="24"/>
          <w:szCs w:val="24"/>
          <w:lang w:eastAsia="en-CA"/>
        </w:rPr>
      </w:pPr>
      <w:r w:rsidRPr="00C11B1C">
        <w:rPr>
          <w:rFonts w:ascii="Arial" w:hAnsi="Arial" w:cs="Arial"/>
          <w:sz w:val="24"/>
          <w:szCs w:val="24"/>
        </w:rPr>
        <w:t>Repeal or amend, and cease the arbitrary application of, laws restricting freedom of expression and assembly</w:t>
      </w:r>
      <w:r w:rsidRPr="00C11B1C">
        <w:rPr>
          <w:rFonts w:ascii="Arial" w:hAnsi="Arial" w:cs="Arial"/>
          <w:sz w:val="24"/>
          <w:szCs w:val="24"/>
          <w:lang w:eastAsia="en-CA"/>
        </w:rPr>
        <w:t>.</w:t>
      </w:r>
      <w:r w:rsidRPr="00C11B1C">
        <w:rPr>
          <w:rFonts w:ascii="Arial" w:hAnsi="Arial" w:cs="Arial"/>
          <w:sz w:val="24"/>
          <w:szCs w:val="24"/>
        </w:rPr>
        <w:t xml:space="preserve"> </w:t>
      </w:r>
    </w:p>
    <w:p w14:paraId="75CE8E0A" w14:textId="77777777" w:rsidR="00C11B1C" w:rsidRPr="00C11B1C" w:rsidRDefault="00C11B1C" w:rsidP="00C11B1C">
      <w:pPr>
        <w:rPr>
          <w:rFonts w:ascii="Arial" w:hAnsi="Arial" w:cs="Arial"/>
          <w:lang w:val="en-CA" w:eastAsia="en-CA"/>
        </w:rPr>
      </w:pPr>
    </w:p>
    <w:p w14:paraId="102C0CFF" w14:textId="77777777" w:rsidR="00C11B1C" w:rsidRPr="00C11B1C" w:rsidRDefault="00C11B1C" w:rsidP="00C11B1C">
      <w:pPr>
        <w:rPr>
          <w:rFonts w:ascii="Arial" w:hAnsi="Arial" w:cs="Arial"/>
          <w:lang w:val="en-CA" w:eastAsia="en-CA"/>
        </w:rPr>
      </w:pPr>
      <w:r w:rsidRPr="00C11B1C">
        <w:rPr>
          <w:rFonts w:ascii="Arial" w:hAnsi="Arial" w:cs="Arial"/>
          <w:lang w:val="en-CA" w:eastAsia="en-CA"/>
        </w:rPr>
        <w:t xml:space="preserve">Canada remains extremely concerned by institutionalized discrimination against ethnic and religious minorities, and the shrinking democratic space caused by criminalizing dissent. </w:t>
      </w:r>
    </w:p>
    <w:p w14:paraId="55D7FD7F" w14:textId="77777777" w:rsidR="00295563" w:rsidRPr="00C11B1C" w:rsidRDefault="00295563" w:rsidP="00C113F4">
      <w:pPr>
        <w:spacing w:line="480" w:lineRule="auto"/>
        <w:rPr>
          <w:lang w:val="en-CA"/>
        </w:rPr>
      </w:pPr>
    </w:p>
    <w:sectPr w:rsidR="00295563" w:rsidRPr="00C11B1C" w:rsidSect="00DC6612">
      <w:footerReference w:type="default" r:id="rId8"/>
      <w:headerReference w:type="first" r:id="rId9"/>
      <w:footerReference w:type="first" r:id="rId10"/>
      <w:type w:val="continuous"/>
      <w:pgSz w:w="12240" w:h="15840"/>
      <w:pgMar w:top="2694" w:right="1440" w:bottom="155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29CE02" w14:textId="77777777" w:rsidR="00266055" w:rsidRDefault="00266055" w:rsidP="00DC6612">
      <w:r>
        <w:separator/>
      </w:r>
    </w:p>
  </w:endnote>
  <w:endnote w:type="continuationSeparator" w:id="0">
    <w:p w14:paraId="41C3B4DB" w14:textId="77777777" w:rsidR="00266055" w:rsidRDefault="00266055" w:rsidP="00DC6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504819"/>
      <w:docPartObj>
        <w:docPartGallery w:val="Page Numbers (Bottom of Page)"/>
        <w:docPartUnique/>
      </w:docPartObj>
    </w:sdtPr>
    <w:sdtEndPr/>
    <w:sdtContent>
      <w:sdt>
        <w:sdtPr>
          <w:id w:val="1792469735"/>
          <w:docPartObj>
            <w:docPartGallery w:val="Page Numbers (Top of Page)"/>
            <w:docPartUnique/>
          </w:docPartObj>
        </w:sdtPr>
        <w:sdtEndPr/>
        <w:sdtContent>
          <w:p w14:paraId="078B67AA" w14:textId="548B372C" w:rsidR="00C113F4" w:rsidRDefault="00C113F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742A64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742A64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3CEA7EC" w14:textId="77777777" w:rsidR="00C113F4" w:rsidRDefault="00C113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167213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9509895" w14:textId="16DEE053" w:rsidR="00C113F4" w:rsidRDefault="00C113F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CE38F7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CE38F7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DB23964" w14:textId="77777777" w:rsidR="00C113F4" w:rsidRDefault="00C113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53CBCD" w14:textId="77777777" w:rsidR="00266055" w:rsidRDefault="00266055" w:rsidP="00DC6612">
      <w:r>
        <w:separator/>
      </w:r>
    </w:p>
  </w:footnote>
  <w:footnote w:type="continuationSeparator" w:id="0">
    <w:p w14:paraId="7B91B320" w14:textId="77777777" w:rsidR="00266055" w:rsidRDefault="00266055" w:rsidP="00DC66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625BC" w14:textId="77508B72" w:rsidR="00B851DD" w:rsidRDefault="00B851DD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3D030677" wp14:editId="07197B3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10064685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6468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1198">
      <w:t>*Check against delivery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B68FC"/>
    <w:multiLevelType w:val="hybridMultilevel"/>
    <w:tmpl w:val="B1F22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80D5A"/>
    <w:multiLevelType w:val="multilevel"/>
    <w:tmpl w:val="26A02F6A"/>
    <w:styleLink w:val="tabs"/>
    <w:lvl w:ilvl="0">
      <w:start w:val="1"/>
      <w:numFmt w:val="bullet"/>
      <w:lvlText w:val="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622"/>
        </w:tabs>
        <w:ind w:left="36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342"/>
        </w:tabs>
        <w:ind w:left="43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62"/>
        </w:tabs>
        <w:ind w:left="50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82"/>
        </w:tabs>
        <w:ind w:left="57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502"/>
        </w:tabs>
        <w:ind w:left="65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22"/>
        </w:tabs>
        <w:ind w:left="72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42"/>
        </w:tabs>
        <w:ind w:left="79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662"/>
        </w:tabs>
        <w:ind w:left="8662" w:hanging="360"/>
      </w:pPr>
      <w:rPr>
        <w:rFonts w:ascii="Wingdings" w:hAnsi="Wingdings" w:hint="default"/>
      </w:rPr>
    </w:lvl>
  </w:abstractNum>
  <w:abstractNum w:abstractNumId="2" w15:restartNumberingAfterBreak="0">
    <w:nsid w:val="34C078A1"/>
    <w:multiLevelType w:val="hybridMultilevel"/>
    <w:tmpl w:val="515E1002"/>
    <w:lvl w:ilvl="0" w:tplc="A07E9C94">
      <w:start w:val="1"/>
      <w:numFmt w:val="bullet"/>
      <w:pStyle w:val="Style1"/>
      <w:lvlText w:val="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tabs>
          <w:tab w:val="num" w:pos="3622"/>
        </w:tabs>
        <w:ind w:left="36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4342"/>
        </w:tabs>
        <w:ind w:left="43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5062"/>
        </w:tabs>
        <w:ind w:left="50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5782"/>
        </w:tabs>
        <w:ind w:left="57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6502"/>
        </w:tabs>
        <w:ind w:left="65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7222"/>
        </w:tabs>
        <w:ind w:left="72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7942"/>
        </w:tabs>
        <w:ind w:left="79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8662"/>
        </w:tabs>
        <w:ind w:left="8662" w:hanging="360"/>
      </w:pPr>
      <w:rPr>
        <w:rFonts w:ascii="Wingdings" w:hAnsi="Wingdings" w:hint="default"/>
      </w:rPr>
    </w:lvl>
  </w:abstractNum>
  <w:abstractNum w:abstractNumId="3" w15:restartNumberingAfterBreak="0">
    <w:nsid w:val="3CD16107"/>
    <w:multiLevelType w:val="hybridMultilevel"/>
    <w:tmpl w:val="056EA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7234CB"/>
    <w:multiLevelType w:val="hybridMultilevel"/>
    <w:tmpl w:val="D370057C"/>
    <w:lvl w:ilvl="0" w:tplc="62DC10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5EA7416"/>
    <w:multiLevelType w:val="hybridMultilevel"/>
    <w:tmpl w:val="D23493CA"/>
    <w:lvl w:ilvl="0" w:tplc="2222DE8A">
      <w:start w:val="1"/>
      <w:numFmt w:val="bullet"/>
      <w:pStyle w:val="START-BULLET"/>
      <w:lvlText w:val=""/>
      <w:lvlJc w:val="left"/>
      <w:pPr>
        <w:tabs>
          <w:tab w:val="num" w:pos="397"/>
        </w:tabs>
        <w:ind w:left="397" w:hanging="397"/>
      </w:pPr>
      <w:rPr>
        <w:rFonts w:ascii="Wingdings 3" w:hAnsi="Wingdings 3" w:hint="default"/>
        <w:caps w:val="0"/>
        <w:strike w:val="0"/>
        <w:dstrike w:val="0"/>
        <w:vanish w:val="0"/>
        <w:color w:val="00009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612"/>
    <w:rsid w:val="0003005C"/>
    <w:rsid w:val="00065DE8"/>
    <w:rsid w:val="000737E2"/>
    <w:rsid w:val="001A6D5F"/>
    <w:rsid w:val="001C178D"/>
    <w:rsid w:val="001E2DF8"/>
    <w:rsid w:val="001F1045"/>
    <w:rsid w:val="00266055"/>
    <w:rsid w:val="002809CF"/>
    <w:rsid w:val="00295563"/>
    <w:rsid w:val="00305A1E"/>
    <w:rsid w:val="003A0B49"/>
    <w:rsid w:val="003A1473"/>
    <w:rsid w:val="003D72F0"/>
    <w:rsid w:val="00461E92"/>
    <w:rsid w:val="004639BD"/>
    <w:rsid w:val="005253A3"/>
    <w:rsid w:val="00573869"/>
    <w:rsid w:val="005F493F"/>
    <w:rsid w:val="00620FAE"/>
    <w:rsid w:val="006441D8"/>
    <w:rsid w:val="00651198"/>
    <w:rsid w:val="006531A5"/>
    <w:rsid w:val="00707DFA"/>
    <w:rsid w:val="00712183"/>
    <w:rsid w:val="00735521"/>
    <w:rsid w:val="00742A64"/>
    <w:rsid w:val="00893BDA"/>
    <w:rsid w:val="008A5C36"/>
    <w:rsid w:val="008E7177"/>
    <w:rsid w:val="00901E5E"/>
    <w:rsid w:val="0093791E"/>
    <w:rsid w:val="00981EE6"/>
    <w:rsid w:val="00A005D4"/>
    <w:rsid w:val="00A268B9"/>
    <w:rsid w:val="00A32E2D"/>
    <w:rsid w:val="00A632A2"/>
    <w:rsid w:val="00AA6C80"/>
    <w:rsid w:val="00AD58D1"/>
    <w:rsid w:val="00B276D1"/>
    <w:rsid w:val="00B40660"/>
    <w:rsid w:val="00B64442"/>
    <w:rsid w:val="00B65E97"/>
    <w:rsid w:val="00B8031D"/>
    <w:rsid w:val="00B84A85"/>
    <w:rsid w:val="00B851DD"/>
    <w:rsid w:val="00B86760"/>
    <w:rsid w:val="00B97BC5"/>
    <w:rsid w:val="00BA6562"/>
    <w:rsid w:val="00BB6E94"/>
    <w:rsid w:val="00C113F4"/>
    <w:rsid w:val="00C11B1C"/>
    <w:rsid w:val="00C17274"/>
    <w:rsid w:val="00C447A7"/>
    <w:rsid w:val="00C6479D"/>
    <w:rsid w:val="00C75B47"/>
    <w:rsid w:val="00C8103E"/>
    <w:rsid w:val="00CA07EC"/>
    <w:rsid w:val="00CC1FF3"/>
    <w:rsid w:val="00CE38F7"/>
    <w:rsid w:val="00CF51C4"/>
    <w:rsid w:val="00D228CB"/>
    <w:rsid w:val="00DB3BE9"/>
    <w:rsid w:val="00DC46F0"/>
    <w:rsid w:val="00DC6612"/>
    <w:rsid w:val="00DD23F4"/>
    <w:rsid w:val="00DF4338"/>
    <w:rsid w:val="00F61AE6"/>
    <w:rsid w:val="00F769BD"/>
    <w:rsid w:val="00F8235E"/>
    <w:rsid w:val="00FB69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EB540E4"/>
  <w15:docId w15:val="{0BD0B2E8-208A-455C-88C1-71E56BA0B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tabs">
    <w:name w:val="tabs"/>
    <w:basedOn w:val="NoList"/>
    <w:rsid w:val="00A32E2D"/>
    <w:pPr>
      <w:numPr>
        <w:numId w:val="1"/>
      </w:numPr>
    </w:pPr>
  </w:style>
  <w:style w:type="paragraph" w:customStyle="1" w:styleId="Style1">
    <w:name w:val="Style1"/>
    <w:basedOn w:val="Normal"/>
    <w:qFormat/>
    <w:rsid w:val="00A32E2D"/>
    <w:pPr>
      <w:numPr>
        <w:numId w:val="2"/>
      </w:numPr>
      <w:tabs>
        <w:tab w:val="left" w:pos="851"/>
      </w:tabs>
      <w:ind w:right="-255"/>
      <w:jc w:val="both"/>
    </w:pPr>
    <w:rPr>
      <w:rFonts w:ascii="Arial" w:eastAsia="Times New Roman" w:hAnsi="Arial" w:cs="Arial"/>
      <w:caps/>
      <w:sz w:val="18"/>
      <w:szCs w:val="20"/>
      <w:lang w:val="en-CA" w:eastAsia="en-CA"/>
    </w:rPr>
  </w:style>
  <w:style w:type="paragraph" w:customStyle="1" w:styleId="START-BODY">
    <w:name w:val="START-BODY"/>
    <w:basedOn w:val="Normal"/>
    <w:qFormat/>
    <w:rsid w:val="00A32E2D"/>
    <w:pPr>
      <w:jc w:val="both"/>
    </w:pPr>
    <w:rPr>
      <w:rFonts w:ascii="Arial" w:eastAsia="Times New Roman" w:hAnsi="Arial" w:cs="Times New Roman"/>
      <w:sz w:val="18"/>
      <w:lang w:val="en-CA" w:eastAsia="en-CA"/>
    </w:rPr>
  </w:style>
  <w:style w:type="paragraph" w:customStyle="1" w:styleId="START-BUB-TITLE">
    <w:name w:val="START-BUB-TITLE"/>
    <w:basedOn w:val="START-BODY"/>
    <w:qFormat/>
    <w:rsid w:val="00A32E2D"/>
    <w:rPr>
      <w:b/>
      <w:color w:val="000090"/>
      <w:sz w:val="22"/>
    </w:rPr>
  </w:style>
  <w:style w:type="paragraph" w:customStyle="1" w:styleId="Style2">
    <w:name w:val="Style2"/>
    <w:basedOn w:val="Normal"/>
    <w:qFormat/>
    <w:rsid w:val="00A32E2D"/>
    <w:pPr>
      <w:jc w:val="both"/>
    </w:pPr>
    <w:rPr>
      <w:rFonts w:ascii="Arial" w:eastAsia="Times New Roman" w:hAnsi="Arial" w:cs="Times New Roman"/>
      <w:sz w:val="18"/>
      <w:lang w:val="en-CA" w:eastAsia="en-CA"/>
    </w:rPr>
  </w:style>
  <w:style w:type="paragraph" w:customStyle="1" w:styleId="START-ALLCAPS">
    <w:name w:val="START-ALLCAPS"/>
    <w:basedOn w:val="Normal"/>
    <w:qFormat/>
    <w:rsid w:val="00A32E2D"/>
    <w:pPr>
      <w:jc w:val="both"/>
    </w:pPr>
    <w:rPr>
      <w:rFonts w:ascii="Arial" w:eastAsia="Times New Roman" w:hAnsi="Arial" w:cs="Times New Roman"/>
      <w:b/>
      <w:caps/>
      <w:color w:val="000090"/>
      <w:sz w:val="18"/>
      <w:lang w:val="en-CA" w:eastAsia="en-CA"/>
    </w:rPr>
  </w:style>
  <w:style w:type="paragraph" w:customStyle="1" w:styleId="START-BULLET">
    <w:name w:val="START-BULLET"/>
    <w:basedOn w:val="Normal"/>
    <w:qFormat/>
    <w:rsid w:val="00A32E2D"/>
    <w:pPr>
      <w:numPr>
        <w:numId w:val="6"/>
      </w:numPr>
      <w:jc w:val="both"/>
    </w:pPr>
    <w:rPr>
      <w:rFonts w:ascii="Arial" w:eastAsia="Times New Roman" w:hAnsi="Arial" w:cs="Times New Roman"/>
      <w:sz w:val="18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DC66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6612"/>
  </w:style>
  <w:style w:type="paragraph" w:styleId="Footer">
    <w:name w:val="footer"/>
    <w:basedOn w:val="Normal"/>
    <w:link w:val="FooterChar"/>
    <w:uiPriority w:val="99"/>
    <w:unhideWhenUsed/>
    <w:rsid w:val="00DC66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6612"/>
  </w:style>
  <w:style w:type="paragraph" w:styleId="BalloonText">
    <w:name w:val="Balloon Text"/>
    <w:basedOn w:val="Normal"/>
    <w:link w:val="BalloonTextChar"/>
    <w:uiPriority w:val="99"/>
    <w:semiHidden/>
    <w:unhideWhenUsed/>
    <w:rsid w:val="00DC661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612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D58D1"/>
    <w:pPr>
      <w:spacing w:after="200" w:line="276" w:lineRule="auto"/>
      <w:ind w:left="720"/>
      <w:contextualSpacing/>
    </w:pPr>
    <w:rPr>
      <w:sz w:val="22"/>
      <w:szCs w:val="22"/>
      <w:lang w:val="en-CA" w:eastAsia="ja-JP"/>
    </w:rPr>
  </w:style>
  <w:style w:type="paragraph" w:styleId="NoSpacing">
    <w:name w:val="No Spacing"/>
    <w:basedOn w:val="Normal"/>
    <w:uiPriority w:val="1"/>
    <w:qFormat/>
    <w:rsid w:val="00AD58D1"/>
    <w:rPr>
      <w:rFonts w:ascii="Calibri" w:eastAsiaTheme="minorHAnsi" w:hAnsi="Calibri" w:cs="Times New Roman"/>
      <w:sz w:val="22"/>
      <w:szCs w:val="22"/>
      <w:lang w:val="en-CA"/>
    </w:rPr>
  </w:style>
  <w:style w:type="paragraph" w:customStyle="1" w:styleId="Default">
    <w:name w:val="Default"/>
    <w:basedOn w:val="Normal"/>
    <w:rsid w:val="00C113F4"/>
    <w:pPr>
      <w:autoSpaceDE w:val="0"/>
      <w:autoSpaceDN w:val="0"/>
    </w:pPr>
    <w:rPr>
      <w:rFonts w:ascii="Calibri" w:eastAsiaTheme="minorHAnsi" w:hAnsi="Calibri" w:cs="Times New Roman"/>
      <w:color w:val="000000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711024-75EF-439E-A589-09393726FB7C}"/>
</file>

<file path=customXml/itemProps2.xml><?xml version="1.0" encoding="utf-8"?>
<ds:datastoreItem xmlns:ds="http://schemas.openxmlformats.org/officeDocument/2006/customXml" ds:itemID="{4668A58D-A18B-414B-8F2F-9B6E55978C5B}"/>
</file>

<file path=customXml/itemProps3.xml><?xml version="1.0" encoding="utf-8"?>
<ds:datastoreItem xmlns:ds="http://schemas.openxmlformats.org/officeDocument/2006/customXml" ds:itemID="{66997352-DEDA-4F72-A7F5-6A1812F16ACA}"/>
</file>

<file path=customXml/itemProps4.xml><?xml version="1.0" encoding="utf-8"?>
<ds:datastoreItem xmlns:ds="http://schemas.openxmlformats.org/officeDocument/2006/customXml" ds:itemID="{26B1E800-DB1E-42D1-B4A1-D8D085FE42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DFAIT-MAECI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Genevieve Houle</dc:creator>
  <cp:lastModifiedBy>Joltopuf, Iolanda -GENEV -GR</cp:lastModifiedBy>
  <cp:revision>3</cp:revision>
  <cp:lastPrinted>2018-06-27T06:02:00Z</cp:lastPrinted>
  <dcterms:created xsi:type="dcterms:W3CDTF">2021-01-21T13:42:00Z</dcterms:created>
  <dcterms:modified xsi:type="dcterms:W3CDTF">2021-01-22T08:20:00Z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