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9A6C12" w:rsidRPr="009A6C12" w14:paraId="03D00691" w14:textId="77777777" w:rsidTr="00274D82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E38D2" w14:textId="77777777" w:rsidR="009A6C12" w:rsidRPr="00AC3B3B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GB" w:eastAsia="zh-CN" w:bidi="hi-IN"/>
              </w:rPr>
            </w:pPr>
            <w:r w:rsidRPr="00AC3B3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GB" w:eastAsia="zh-CN" w:bidi="hi-IN"/>
              </w:rPr>
              <w:t xml:space="preserve">A M B A S </w:t>
            </w:r>
            <w:proofErr w:type="spellStart"/>
            <w:r w:rsidRPr="00AC3B3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GB" w:eastAsia="zh-CN" w:bidi="hi-IN"/>
              </w:rPr>
              <w:t>S</w:t>
            </w:r>
            <w:proofErr w:type="spellEnd"/>
            <w:r w:rsidRPr="00AC3B3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GB" w:eastAsia="zh-CN" w:bidi="hi-IN"/>
              </w:rPr>
              <w:t xml:space="preserve"> A D E   DU TOGO</w:t>
            </w:r>
          </w:p>
          <w:p w14:paraId="76667214" w14:textId="77777777" w:rsidR="009A6C12" w:rsidRPr="009A6C12" w:rsidRDefault="009A6C12" w:rsidP="009A6C12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9A6C12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Mission Permanente auprès de l'Office des Nations </w:t>
            </w:r>
            <w:proofErr w:type="gramStart"/>
            <w:r w:rsidRPr="009A6C12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Unies  et</w:t>
            </w:r>
            <w:proofErr w:type="gramEnd"/>
            <w:r w:rsidRPr="009A6C12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36665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9A6C12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674D9F28" wp14:editId="27DFBEF7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C17B7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9A6C12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9A6C12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7D56BE50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9A6C12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9A6C12" w:rsidRPr="009A6C12" w14:paraId="7FE8A9A6" w14:textId="77777777" w:rsidTr="00274D82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893C2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96454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A9EBD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1BC14236" w14:textId="77777777" w:rsidR="009A6C12" w:rsidRPr="009A6C12" w:rsidRDefault="009A6C12" w:rsidP="009A6C12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015E3A9" w14:textId="77777777" w:rsidR="009A6C12" w:rsidRPr="009A6C12" w:rsidRDefault="009A6C12" w:rsidP="009A6C12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2CBC6A0" w14:textId="77777777" w:rsidR="009A6C12" w:rsidRPr="009A6C12" w:rsidRDefault="009A6C12" w:rsidP="009A6C12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1E8FC81C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</w:pPr>
      <w:r w:rsidRPr="009A6C12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9A6C12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r w:rsidRPr="009A6C12"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0CFCA7CD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53BE1DD7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788758FF" w14:textId="67CA4BE7" w:rsidR="009A6C12" w:rsidRPr="009A6C12" w:rsidRDefault="009A6C12" w:rsidP="00F03BDB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3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7</w:t>
      </w: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  <w:vertAlign w:val="superscript"/>
        </w:rPr>
        <w:t>ème</w:t>
      </w: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Session du groupe de travail de l'Examen Périodique Universel (EPU)</w:t>
      </w:r>
      <w:r w:rsidR="00F03BDB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, du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18 au 29 janvier</w:t>
      </w: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202</w:t>
      </w:r>
      <w:r w:rsidR="00CB35E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1</w:t>
      </w:r>
    </w:p>
    <w:p w14:paraId="7B6E3607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4E1BB370" w14:textId="77777777" w:rsidR="009A6C12" w:rsidRPr="009A6C12" w:rsidRDefault="009A6C12" w:rsidP="009A6C1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17BFA422" w14:textId="04228B6D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Examen du rapport du </w:t>
      </w:r>
      <w:r w:rsidR="00990BD6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Liban</w:t>
      </w:r>
    </w:p>
    <w:p w14:paraId="38111C04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036CA8E3" w14:textId="77777777" w:rsidR="009A6C12" w:rsidRPr="009A6C12" w:rsidRDefault="009A6C12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2AE1EFC4" w14:textId="77777777" w:rsidR="009A6C12" w:rsidRPr="009A6C12" w:rsidRDefault="009A6C12" w:rsidP="00F03BDB">
      <w:pPr>
        <w:pBdr>
          <w:bottom w:val="single" w:sz="4" w:space="1" w:color="auto"/>
        </w:pBd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567EEA8B" w14:textId="7BFA063D" w:rsidR="009A6C12" w:rsidRDefault="009A6C12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1CE5BE1" w14:textId="77777777" w:rsidR="00F03BDB" w:rsidRPr="009A6C12" w:rsidRDefault="00F03BDB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C2423E0" w14:textId="218132A0" w:rsidR="00F03BDB" w:rsidRPr="00F03BDB" w:rsidRDefault="00F03BDB" w:rsidP="00F03BDB">
      <w:pPr>
        <w:suppressAutoHyphens/>
        <w:spacing w:after="0" w:line="276" w:lineRule="auto"/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</w:pPr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  <w:u w:val="single"/>
        </w:rPr>
        <w:t>Présentée par</w:t>
      </w:r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> :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 </w:t>
      </w:r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 xml:space="preserve">M. </w:t>
      </w:r>
      <w:proofErr w:type="spellStart"/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>Togbé</w:t>
      </w:r>
      <w:proofErr w:type="spellEnd"/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 xml:space="preserve"> </w:t>
      </w:r>
      <w:proofErr w:type="spellStart"/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>Agbessi</w:t>
      </w:r>
      <w:proofErr w:type="spellEnd"/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 xml:space="preserve"> ALANGUE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, </w:t>
      </w:r>
      <w:r w:rsidRPr="00F03BDB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>Conseiller chargé des affaires humanitaires et des droits de l’Homme</w:t>
      </w:r>
    </w:p>
    <w:p w14:paraId="5F6C6FE4" w14:textId="20D951CF" w:rsidR="00F03BDB" w:rsidRDefault="009A6C12" w:rsidP="00F03BDB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</w:p>
    <w:p w14:paraId="5DF8B115" w14:textId="78123220" w:rsidR="009A6C12" w:rsidRPr="009A6C12" w:rsidRDefault="00F03BDB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                                                          </w:t>
      </w:r>
      <w:r w:rsidR="009A6C12"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Genève, le </w:t>
      </w:r>
      <w:r w:rsid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18 janvier 2021</w:t>
      </w:r>
    </w:p>
    <w:p w14:paraId="28AE639F" w14:textId="116ACE26" w:rsidR="009A6C12" w:rsidRPr="009A6C12" w:rsidRDefault="009A6C12" w:rsidP="009A6C12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14h30</w:t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-1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8</w:t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h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0</w:t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0)</w:t>
      </w:r>
    </w:p>
    <w:p w14:paraId="4530A14E" w14:textId="38F56EB9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AA57498" w14:textId="7876BD56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E4A8F70" w14:textId="1786DBB4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BA7369F" w14:textId="48E74E5F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CB67FD4" w14:textId="56CED9AC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588185E2" w14:textId="77777777" w:rsidR="00F03BDB" w:rsidRDefault="00F03BDB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7B79D42" w14:textId="77777777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61E67F4" w14:textId="77777777" w:rsidR="009A6C12" w:rsidRP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5A8FF4E" w14:textId="77777777" w:rsidR="009A6C12" w:rsidRP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F574899" w14:textId="77777777" w:rsidR="009A6C12" w:rsidRPr="009A6C12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9A6C12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>Madame la présidente,</w:t>
      </w:r>
    </w:p>
    <w:p w14:paraId="0288F9C4" w14:textId="77777777" w:rsidR="009A6C12" w:rsidRPr="009A6C12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5BE28222" w14:textId="7E239389" w:rsidR="009A6C12" w:rsidRPr="00F03BDB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</w:t>
      </w:r>
      <w:r w:rsidR="00115FEF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D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élégation togolaise souhaite la cordiale bienvenue à la Délégation </w:t>
      </w:r>
      <w:r w:rsidR="00115FEF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libanaise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ce 3</w:t>
      </w:r>
      <w:r w:rsidRPr="00F03BDB">
        <w:rPr>
          <w:rFonts w:ascii="Times New Roman" w:eastAsia="Noto Sans CJK SC Regular" w:hAnsi="Times New Roman" w:cs="Times New Roman"/>
          <w:sz w:val="28"/>
          <w:szCs w:val="28"/>
          <w:vertAlign w:val="superscript"/>
          <w:lang w:eastAsia="zh-CN" w:bidi="hi-IN"/>
        </w:rPr>
        <w:t>ème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cycle de l’Examen Périodique Universel (EPU).</w:t>
      </w:r>
    </w:p>
    <w:p w14:paraId="1BA73975" w14:textId="77777777" w:rsidR="009A6C12" w:rsidRPr="00F03BDB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9540595" w14:textId="56CADF7A" w:rsidR="009A6C12" w:rsidRPr="00F03BDB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Le Togo prend note des efforts fournis par le Liban</w:t>
      </w:r>
      <w:r w:rsidR="00B03241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,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</w:t>
      </w:r>
      <w:r w:rsidR="00B03241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en dépit d’un contexte</w:t>
      </w:r>
      <w:r w:rsidR="002F1919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,</w:t>
      </w:r>
      <w:r w:rsidR="00B03241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difficile</w:t>
      </w:r>
      <w:r w:rsidR="002F1919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,</w:t>
      </w:r>
      <w:r w:rsidR="00B03241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pour mettre en œuvre des recommandations qui lui avaient été adressées, à l’issue du 2</w:t>
      </w:r>
      <w:r w:rsidRPr="00F03BDB">
        <w:rPr>
          <w:rFonts w:ascii="Times New Roman" w:eastAsia="Noto Sans CJK SC Regular" w:hAnsi="Times New Roman" w:cs="Times New Roman"/>
          <w:sz w:val="28"/>
          <w:szCs w:val="28"/>
          <w:vertAlign w:val="superscript"/>
          <w:lang w:eastAsia="zh-CN" w:bidi="hi-IN"/>
        </w:rPr>
        <w:t>ème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cycle de l’EPU.</w:t>
      </w:r>
    </w:p>
    <w:p w14:paraId="27671B4B" w14:textId="77777777" w:rsidR="009A6C12" w:rsidRPr="00F03BDB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398ED0F5" w14:textId="6F54404C" w:rsidR="009A6C12" w:rsidRPr="00F03BDB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Sous le bénéfice de ce qui précède, et dans un esprit constructif, le Togo souhaite</w:t>
      </w:r>
      <w:r w:rsidR="00857AB3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rait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formuler </w:t>
      </w:r>
      <w:r w:rsidR="00857AB3"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au Liban </w:t>
      </w: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les recommandations suivantes :</w:t>
      </w:r>
    </w:p>
    <w:p w14:paraId="36F31023" w14:textId="77777777" w:rsidR="009A6C12" w:rsidRPr="00F03BDB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E503D04" w14:textId="017DE5DF" w:rsidR="00281ED0" w:rsidRPr="00F03BDB" w:rsidRDefault="00281ED0" w:rsidP="00115FEF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BDB">
        <w:rPr>
          <w:rFonts w:ascii="Times New Roman" w:hAnsi="Times New Roman" w:cs="Times New Roman"/>
          <w:color w:val="auto"/>
          <w:sz w:val="28"/>
          <w:szCs w:val="28"/>
        </w:rPr>
        <w:t xml:space="preserve">Prendre des mesures rigoureuses pour </w:t>
      </w:r>
      <w:r w:rsidR="00857AB3" w:rsidRPr="00F03BDB">
        <w:rPr>
          <w:rFonts w:ascii="Times New Roman" w:hAnsi="Times New Roman" w:cs="Times New Roman"/>
          <w:color w:val="auto"/>
          <w:sz w:val="28"/>
          <w:szCs w:val="28"/>
        </w:rPr>
        <w:t xml:space="preserve">encadrer le travail domestique, </w:t>
      </w:r>
      <w:r w:rsidRPr="00F03BDB">
        <w:rPr>
          <w:rFonts w:ascii="Times New Roman" w:hAnsi="Times New Roman" w:cs="Times New Roman"/>
          <w:color w:val="auto"/>
          <w:sz w:val="28"/>
          <w:szCs w:val="28"/>
        </w:rPr>
        <w:t>prohiber l’exploitation des travailleurs domestiques migrantes, enquêter sur les</w:t>
      </w:r>
      <w:r w:rsidR="00AC3B3B" w:rsidRPr="00F03BDB">
        <w:rPr>
          <w:rFonts w:ascii="Times New Roman" w:hAnsi="Times New Roman" w:cs="Times New Roman"/>
          <w:color w:val="auto"/>
          <w:sz w:val="28"/>
          <w:szCs w:val="28"/>
        </w:rPr>
        <w:t xml:space="preserve"> informations contenues dans les</w:t>
      </w:r>
      <w:r w:rsidRPr="00F03BDB">
        <w:rPr>
          <w:rFonts w:ascii="Times New Roman" w:hAnsi="Times New Roman" w:cs="Times New Roman"/>
          <w:color w:val="auto"/>
          <w:sz w:val="28"/>
          <w:szCs w:val="28"/>
        </w:rPr>
        <w:t xml:space="preserve"> rapports </w:t>
      </w:r>
      <w:r w:rsidR="00AC3B3B" w:rsidRPr="00F03BDB">
        <w:rPr>
          <w:rFonts w:ascii="Times New Roman" w:hAnsi="Times New Roman" w:cs="Times New Roman"/>
          <w:color w:val="auto"/>
          <w:sz w:val="28"/>
          <w:szCs w:val="28"/>
        </w:rPr>
        <w:t>de</w:t>
      </w:r>
      <w:r w:rsidRPr="00F03BDB">
        <w:rPr>
          <w:rFonts w:ascii="Times New Roman" w:hAnsi="Times New Roman" w:cs="Times New Roman"/>
          <w:color w:val="auto"/>
          <w:sz w:val="28"/>
          <w:szCs w:val="28"/>
        </w:rPr>
        <w:t xml:space="preserve"> décès de domestiques migrantes</w:t>
      </w:r>
      <w:r w:rsidR="00AC3B3B" w:rsidRPr="00F03BDB">
        <w:rPr>
          <w:rFonts w:ascii="Times New Roman" w:hAnsi="Times New Roman" w:cs="Times New Roman"/>
          <w:color w:val="auto"/>
          <w:sz w:val="28"/>
          <w:szCs w:val="28"/>
        </w:rPr>
        <w:t>, selon lesquelles ces décès seraient</w:t>
      </w:r>
      <w:r w:rsidRPr="00F03BDB">
        <w:rPr>
          <w:rFonts w:ascii="Times New Roman" w:hAnsi="Times New Roman" w:cs="Times New Roman"/>
          <w:color w:val="auto"/>
          <w:sz w:val="28"/>
          <w:szCs w:val="28"/>
        </w:rPr>
        <w:t xml:space="preserve"> dus à des causes non naturelles et poursuivre et sanctionner les auteurs</w:t>
      </w:r>
      <w:r w:rsidR="00AC3B3B" w:rsidRPr="00F03BDB">
        <w:rPr>
          <w:rFonts w:ascii="Times New Roman" w:hAnsi="Times New Roman" w:cs="Times New Roman"/>
          <w:color w:val="auto"/>
          <w:sz w:val="28"/>
          <w:szCs w:val="28"/>
        </w:rPr>
        <w:t>, le cas échéant</w:t>
      </w:r>
      <w:r w:rsidR="0015656C" w:rsidRPr="00F03BDB">
        <w:rPr>
          <w:rFonts w:ascii="Times New Roman" w:hAnsi="Times New Roman" w:cs="Times New Roman"/>
          <w:color w:val="auto"/>
          <w:sz w:val="28"/>
          <w:szCs w:val="28"/>
        </w:rPr>
        <w:t> ;</w:t>
      </w:r>
    </w:p>
    <w:p w14:paraId="23CA90DA" w14:textId="77777777" w:rsidR="009A6C12" w:rsidRPr="00F03BDB" w:rsidRDefault="009A6C12" w:rsidP="00115FEF">
      <w:pPr>
        <w:spacing w:after="0" w:line="240" w:lineRule="auto"/>
        <w:ind w:left="1080"/>
        <w:contextualSpacing/>
        <w:jc w:val="both"/>
        <w:rPr>
          <w:rFonts w:ascii="Times New Roman" w:eastAsia="Noto Sans CJK SC Regular" w:hAnsi="Times New Roman" w:cs="Times New Roman"/>
          <w:sz w:val="6"/>
          <w:szCs w:val="6"/>
          <w:lang w:eastAsia="zh-CN" w:bidi="hi-IN"/>
        </w:rPr>
      </w:pPr>
    </w:p>
    <w:p w14:paraId="212DBD7E" w14:textId="4E9BA011" w:rsidR="0038125C" w:rsidRPr="00F03BDB" w:rsidRDefault="00857AB3" w:rsidP="002F19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BDB">
        <w:rPr>
          <w:rFonts w:ascii="Times New Roman" w:hAnsi="Times New Roman" w:cs="Times New Roman"/>
          <w:sz w:val="28"/>
          <w:szCs w:val="28"/>
        </w:rPr>
        <w:t>Ratifier la Convention relative au statut des réfugiés et le Protocole relatif au statut des réfugiés</w:t>
      </w:r>
      <w:r w:rsidR="0015656C" w:rsidRPr="00F03BDB">
        <w:rPr>
          <w:rFonts w:ascii="Times New Roman" w:hAnsi="Times New Roman" w:cs="Times New Roman"/>
          <w:sz w:val="28"/>
          <w:szCs w:val="28"/>
        </w:rPr>
        <w:t> ;</w:t>
      </w:r>
    </w:p>
    <w:p w14:paraId="045CE547" w14:textId="1C6C3BE9" w:rsidR="009A6C12" w:rsidRPr="00F03BDB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F03BD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La délégation togolaise souhaite plein succès au Liban dans la mise en œuvre des recommandations issues du présent EPU.</w:t>
      </w:r>
    </w:p>
    <w:p w14:paraId="7AD47F59" w14:textId="77777777" w:rsidR="009A6C12" w:rsidRPr="009A6C12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5268021" w14:textId="77777777" w:rsidR="009A6C12" w:rsidRPr="009A6C12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9A6C12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 xml:space="preserve">Je vous remercie </w:t>
      </w:r>
    </w:p>
    <w:p w14:paraId="710E4322" w14:textId="77777777" w:rsidR="009A6C12" w:rsidRPr="009A6C12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B3264B0" w14:textId="77777777" w:rsidR="009A6C12" w:rsidRPr="009A6C12" w:rsidRDefault="009A6C12" w:rsidP="009A6C12">
      <w:pPr>
        <w:spacing w:after="0" w:line="240" w:lineRule="auto"/>
        <w:rPr>
          <w:rFonts w:ascii="Liberation Serif" w:eastAsia="Noto Sans CJK SC Regular" w:hAnsi="Liberation Serif" w:cs="FreeSans"/>
          <w:b/>
          <w:color w:val="4472C4" w:themeColor="accent1"/>
          <w:sz w:val="24"/>
          <w:szCs w:val="24"/>
          <w:lang w:eastAsia="zh-CN" w:bidi="hi-IN"/>
        </w:rPr>
      </w:pPr>
    </w:p>
    <w:p w14:paraId="4CBE5F3B" w14:textId="419322B2" w:rsidR="00BB40F1" w:rsidRPr="00BB40F1" w:rsidRDefault="00BB40F1" w:rsidP="00874E0E">
      <w:pPr>
        <w:rPr>
          <w:color w:val="4472C4" w:themeColor="accent1"/>
          <w:sz w:val="36"/>
          <w:szCs w:val="36"/>
        </w:rPr>
      </w:pPr>
    </w:p>
    <w:sectPr w:rsidR="00BB40F1" w:rsidRPr="00BB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C5"/>
    <w:rsid w:val="000623C5"/>
    <w:rsid w:val="00115FEF"/>
    <w:rsid w:val="001379E7"/>
    <w:rsid w:val="0015656C"/>
    <w:rsid w:val="00281ED0"/>
    <w:rsid w:val="002F1919"/>
    <w:rsid w:val="0038125C"/>
    <w:rsid w:val="00452072"/>
    <w:rsid w:val="00857AB3"/>
    <w:rsid w:val="00874E0E"/>
    <w:rsid w:val="008C61C6"/>
    <w:rsid w:val="00990BD6"/>
    <w:rsid w:val="009A6C12"/>
    <w:rsid w:val="00AC3B3B"/>
    <w:rsid w:val="00AD1986"/>
    <w:rsid w:val="00B03241"/>
    <w:rsid w:val="00BB40F1"/>
    <w:rsid w:val="00C13151"/>
    <w:rsid w:val="00CB35E5"/>
    <w:rsid w:val="00F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DBFC1"/>
  <w15:chartTrackingRefBased/>
  <w15:docId w15:val="{A9DEC90C-398B-4AF1-A3E9-73BD645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C61C6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32026-B071-47A7-842F-A75150A86208}"/>
</file>

<file path=customXml/itemProps2.xml><?xml version="1.0" encoding="utf-8"?>
<ds:datastoreItem xmlns:ds="http://schemas.openxmlformats.org/officeDocument/2006/customXml" ds:itemID="{8153ED06-C7C6-4E78-B142-17DBCF8A1660}"/>
</file>

<file path=customXml/itemProps3.xml><?xml version="1.0" encoding="utf-8"?>
<ds:datastoreItem xmlns:ds="http://schemas.openxmlformats.org/officeDocument/2006/customXml" ds:itemID="{3E135F7F-0145-4CB9-BC88-4D585314E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2</cp:revision>
  <dcterms:created xsi:type="dcterms:W3CDTF">2021-01-17T18:04:00Z</dcterms:created>
  <dcterms:modified xsi:type="dcterms:W3CDTF">2021-01-17T18:04:00Z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