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6"/>
        <w:bidiVisual/>
        <w:tblW w:w="10890" w:type="dxa"/>
        <w:tblLook w:val="01E0" w:firstRow="1" w:lastRow="1" w:firstColumn="1" w:lastColumn="1" w:noHBand="0" w:noVBand="0"/>
      </w:tblPr>
      <w:tblGrid>
        <w:gridCol w:w="4860"/>
        <w:gridCol w:w="1620"/>
        <w:gridCol w:w="4410"/>
      </w:tblGrid>
      <w:tr w:rsidR="00446D77" w:rsidRPr="00BC5952" w:rsidTr="00B90F8F">
        <w:trPr>
          <w:trHeight w:val="1350"/>
        </w:trPr>
        <w:tc>
          <w:tcPr>
            <w:tcW w:w="4860" w:type="dxa"/>
          </w:tcPr>
          <w:p w:rsidR="00446D77" w:rsidRPr="00BC5952" w:rsidRDefault="00446D77" w:rsidP="00B90F8F">
            <w:pPr>
              <w:jc w:val="center"/>
              <w:rPr>
                <w:rFonts w:ascii="Simplified Arabic" w:hAnsi="Simplified Arabic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 xml:space="preserve">بعثة </w:t>
            </w: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الدائمة 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>جمهورية مصر العربية</w:t>
            </w:r>
            <w:r w:rsidRPr="00BC5952"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 w:rsidRPr="00BC5952">
              <w:rPr>
                <w:rFonts w:ascii="Simplified Arabic" w:hAnsi="Simplified Arabic"/>
                <w:color w:val="000000"/>
                <w:spacing w:val="-8"/>
                <w:rtl/>
              </w:rPr>
              <w:t>لدى مكتب الأمم المتحدة ومنظمة التجارة العالمية والمنظمات الدولية الأخرى</w:t>
            </w:r>
            <w:r>
              <w:rPr>
                <w:rFonts w:ascii="Simplified Arabic" w:hAnsi="Simplified Arabic"/>
                <w:color w:val="000000"/>
                <w:spacing w:val="-8"/>
              </w:rPr>
              <w:t xml:space="preserve"> </w:t>
            </w:r>
            <w:r>
              <w:rPr>
                <w:rFonts w:ascii="Simplified Arabic" w:hAnsi="Simplified Arabic" w:hint="cs"/>
                <w:color w:val="000000"/>
                <w:spacing w:val="-8"/>
                <w:rtl/>
                <w:lang w:bidi="ar-EG"/>
              </w:rPr>
              <w:t>بجنيف</w:t>
            </w:r>
          </w:p>
          <w:p w:rsidR="00446D77" w:rsidRPr="00BC5952" w:rsidRDefault="00446D77" w:rsidP="00B90F8F">
            <w:pPr>
              <w:jc w:val="center"/>
              <w:rPr>
                <w:rFonts w:ascii="Simplified Arabic" w:hAnsi="Simplified Arabic" w:cs="Akhbar MT"/>
                <w:sz w:val="28"/>
                <w:szCs w:val="28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rtl/>
                <w:lang w:bidi="ar-EG"/>
              </w:rPr>
              <w:t>ــ</w:t>
            </w:r>
            <w:r w:rsidR="009063D8">
              <w:rPr>
                <w:rFonts w:ascii="Simplified Arabic" w:hAnsi="Simplified Arabic" w:hint="cs"/>
                <w:rtl/>
                <w:lang w:bidi="ar-EG"/>
              </w:rPr>
              <w:t>ـــــ</w:t>
            </w:r>
          </w:p>
        </w:tc>
        <w:tc>
          <w:tcPr>
            <w:tcW w:w="1620" w:type="dxa"/>
          </w:tcPr>
          <w:p w:rsidR="00446D77" w:rsidRPr="00BC5952" w:rsidRDefault="00446D77" w:rsidP="00B90F8F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1D93FF" wp14:editId="39C37E25">
                  <wp:extent cx="467995" cy="635000"/>
                  <wp:effectExtent l="0" t="0" r="8255" b="0"/>
                  <wp:docPr id="3" name="Picture 3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446D77" w:rsidRPr="00BC5952" w:rsidRDefault="00446D77" w:rsidP="00B90F8F">
            <w:pPr>
              <w:spacing w:line="360" w:lineRule="auto"/>
              <w:jc w:val="center"/>
              <w:rPr>
                <w:color w:val="000000"/>
                <w:spacing w:val="-8"/>
                <w:sz w:val="6"/>
                <w:szCs w:val="6"/>
                <w:rtl/>
              </w:rPr>
            </w:pPr>
          </w:p>
          <w:p w:rsidR="00446D77" w:rsidRPr="00BC5952" w:rsidRDefault="00446D77" w:rsidP="00B90F8F">
            <w:pPr>
              <w:bidi w:val="0"/>
              <w:ind w:left="-468" w:right="-288"/>
              <w:jc w:val="center"/>
              <w:rPr>
                <w:lang w:bidi="ar-EG"/>
              </w:rPr>
            </w:pPr>
            <w:r>
              <w:rPr>
                <w:color w:val="000000"/>
                <w:spacing w:val="-8"/>
              </w:rPr>
              <w:t>Permanent Mission of</w:t>
            </w:r>
            <w:r w:rsidRPr="00BC5952"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 xml:space="preserve">Egypt </w:t>
            </w:r>
            <w:r w:rsidRPr="00BC5952">
              <w:rPr>
                <w:lang w:bidi="ar-EG"/>
              </w:rPr>
              <w:t>to the United Nations Office, the WTO and other International Organizations</w:t>
            </w:r>
            <w:r>
              <w:rPr>
                <w:lang w:val="en-US" w:bidi="ar-EG"/>
              </w:rPr>
              <w:t xml:space="preserve"> in </w:t>
            </w:r>
            <w:r w:rsidRPr="00BC5952">
              <w:rPr>
                <w:lang w:bidi="ar-EG"/>
              </w:rPr>
              <w:t>Geneva</w:t>
            </w:r>
          </w:p>
          <w:p w:rsidR="00446D77" w:rsidRPr="00BC5952" w:rsidRDefault="00446D77" w:rsidP="00B90F8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C5952">
              <w:rPr>
                <w:rFonts w:hint="cs"/>
                <w:sz w:val="32"/>
                <w:szCs w:val="32"/>
                <w:rtl/>
                <w:lang w:bidi="ar-EG"/>
              </w:rPr>
              <w:t>ـــــ</w:t>
            </w:r>
          </w:p>
        </w:tc>
      </w:tr>
    </w:tbl>
    <w:p w:rsidR="005121C4" w:rsidRPr="00386543" w:rsidRDefault="005121C4" w:rsidP="005A79E9">
      <w:pPr>
        <w:spacing w:line="480" w:lineRule="exact"/>
        <w:jc w:val="center"/>
        <w:rPr>
          <w:rFonts w:asciiTheme="majorBidi" w:hAnsiTheme="majorBidi" w:cstheme="majorBidi"/>
          <w:sz w:val="36"/>
          <w:szCs w:val="36"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مجلس حقوق الإنسان</w:t>
      </w:r>
    </w:p>
    <w:p w:rsidR="005121C4" w:rsidRPr="00386543" w:rsidRDefault="005121C4" w:rsidP="005A79E9">
      <w:pPr>
        <w:spacing w:line="48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بيان وفد جمهورية مصر العربية</w:t>
      </w:r>
    </w:p>
    <w:p w:rsidR="005121C4" w:rsidRPr="00386543" w:rsidRDefault="00B143C9" w:rsidP="005A79E9">
      <w:pPr>
        <w:spacing w:line="48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خلال الدورة </w:t>
      </w:r>
      <w:r w:rsidR="00A62E33">
        <w:rPr>
          <w:rFonts w:asciiTheme="majorBidi" w:hAnsiTheme="majorBidi" w:cstheme="majorBidi" w:hint="cs"/>
          <w:sz w:val="36"/>
          <w:szCs w:val="36"/>
          <w:rtl/>
          <w:lang w:bidi="ar-EG"/>
        </w:rPr>
        <w:t>السابعة</w:t>
      </w:r>
      <w:r w:rsidR="00006006" w:rsidRPr="00386543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والثلاثون ل</w:t>
      </w:r>
      <w:r w:rsidR="005121C4" w:rsidRPr="00386543">
        <w:rPr>
          <w:rFonts w:asciiTheme="majorBidi" w:hAnsiTheme="majorBidi" w:cstheme="majorBidi"/>
          <w:sz w:val="36"/>
          <w:szCs w:val="36"/>
          <w:rtl/>
        </w:rPr>
        <w:t>لفريق العامل المعنى بالاستعراض الدورى الشامل</w:t>
      </w:r>
    </w:p>
    <w:p w:rsidR="00F02DAE" w:rsidRPr="00386543" w:rsidRDefault="00F02DAE" w:rsidP="005A79E9">
      <w:pPr>
        <w:spacing w:line="48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تقرير</w:t>
      </w:r>
      <w:r w:rsidR="00B143C9"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62E33">
        <w:rPr>
          <w:rFonts w:asciiTheme="majorBidi" w:hAnsiTheme="majorBidi" w:cstheme="majorBidi" w:hint="cs"/>
          <w:sz w:val="36"/>
          <w:szCs w:val="36"/>
          <w:rtl/>
        </w:rPr>
        <w:t>نيبال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F02DAE" w:rsidRPr="00386543" w:rsidRDefault="00F02DAE" w:rsidP="005A79E9">
      <w:pPr>
        <w:spacing w:line="48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 (</w:t>
      </w:r>
      <w:r w:rsidR="00A62E33">
        <w:rPr>
          <w:rFonts w:asciiTheme="majorBidi" w:hAnsiTheme="majorBidi" w:cstheme="majorBidi" w:hint="cs"/>
          <w:sz w:val="36"/>
          <w:szCs w:val="36"/>
          <w:rtl/>
          <w:lang w:bidi="ar-EG"/>
        </w:rPr>
        <w:t>21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62E33">
        <w:rPr>
          <w:rFonts w:asciiTheme="majorBidi" w:hAnsiTheme="majorBidi" w:cstheme="majorBidi" w:hint="cs"/>
          <w:sz w:val="36"/>
          <w:szCs w:val="36"/>
          <w:rtl/>
        </w:rPr>
        <w:t>يناير</w:t>
      </w:r>
      <w:r w:rsidRPr="00386543">
        <w:rPr>
          <w:rFonts w:asciiTheme="majorBidi" w:hAnsiTheme="majorBidi" w:cstheme="majorBidi"/>
          <w:sz w:val="36"/>
          <w:szCs w:val="36"/>
          <w:rtl/>
        </w:rPr>
        <w:t xml:space="preserve"> 202</w:t>
      </w:r>
      <w:r w:rsidR="00A62E33">
        <w:rPr>
          <w:rFonts w:asciiTheme="majorBidi" w:hAnsiTheme="majorBidi" w:cstheme="majorBidi" w:hint="cs"/>
          <w:sz w:val="36"/>
          <w:szCs w:val="36"/>
          <w:rtl/>
        </w:rPr>
        <w:t>1</w:t>
      </w:r>
      <w:r w:rsidRPr="00386543">
        <w:rPr>
          <w:rFonts w:asciiTheme="majorBidi" w:hAnsiTheme="majorBidi" w:cstheme="majorBidi"/>
          <w:sz w:val="36"/>
          <w:szCs w:val="36"/>
          <w:rtl/>
        </w:rPr>
        <w:t>)</w:t>
      </w:r>
    </w:p>
    <w:p w:rsidR="00756EAB" w:rsidRPr="00386543" w:rsidRDefault="00756EAB" w:rsidP="005A79E9">
      <w:pPr>
        <w:spacing w:line="48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ـــــ</w:t>
      </w:r>
    </w:p>
    <w:p w:rsidR="005015E2" w:rsidRPr="00BE3FC7" w:rsidRDefault="00D22C2D" w:rsidP="00D22C2D">
      <w:pPr>
        <w:spacing w:before="160" w:line="480" w:lineRule="exact"/>
        <w:ind w:left="-720" w:right="-634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</w:t>
      </w:r>
      <w:r w:rsidR="003656EA" w:rsidRPr="00BE3FC7">
        <w:rPr>
          <w:rFonts w:asciiTheme="majorBidi" w:hAnsiTheme="majorBidi" w:cstheme="majorBidi"/>
          <w:sz w:val="36"/>
          <w:szCs w:val="36"/>
          <w:rtl/>
          <w:lang w:bidi="ar-EG"/>
        </w:rPr>
        <w:t>لسيد</w:t>
      </w:r>
      <w:r w:rsidR="003656EA" w:rsidRPr="00BE3FC7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3656EA" w:rsidRPr="00BE3FC7">
        <w:rPr>
          <w:rFonts w:asciiTheme="majorBidi" w:hAnsiTheme="majorBidi" w:cstheme="majorBidi"/>
          <w:sz w:val="36"/>
          <w:szCs w:val="36"/>
          <w:rtl/>
          <w:lang w:bidi="ar-EG"/>
        </w:rPr>
        <w:t>الرئيس،</w:t>
      </w:r>
    </w:p>
    <w:p w:rsidR="009D0D50" w:rsidRPr="00BE3FC7" w:rsidRDefault="00501840" w:rsidP="00867C3D">
      <w:pPr>
        <w:spacing w:before="160" w:line="48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 w:rsidRPr="00BE3FC7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   </w:t>
      </w:r>
      <w:r w:rsidR="00F251A0" w:rsidRPr="00BE3FC7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يُرحب وفد مصر </w:t>
      </w:r>
      <w:r w:rsidR="009D0D50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</w:t>
      </w:r>
      <w:r w:rsidR="00C61372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وفد</w:t>
      </w:r>
      <w:r w:rsidR="00F251A0" w:rsidRPr="00BE3FC7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</w:t>
      </w:r>
      <w:r w:rsidR="00C55643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val="en-US" w:bidi="ar-EG"/>
        </w:rPr>
        <w:t>نيبال</w:t>
      </w:r>
      <w:r w:rsidR="009D0D50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val="en-US" w:bidi="ar-EG"/>
        </w:rPr>
        <w:t xml:space="preserve">، ويشكره على العرض القيّم والشامل </w:t>
      </w:r>
      <w:r w:rsidR="00C61372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لتقرير</w:t>
      </w:r>
      <w:r w:rsidR="009D0D50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بلاده</w:t>
      </w:r>
      <w:r w:rsidR="00C61372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الوطنى</w:t>
      </w:r>
      <w:bookmarkStart w:id="0" w:name="_GoBack"/>
      <w:bookmarkEnd w:id="0"/>
      <w:r w:rsidR="008E1B2D" w:rsidRPr="00BE3FC7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.</w:t>
      </w:r>
    </w:p>
    <w:p w:rsidR="00C1341A" w:rsidRPr="00BE3FC7" w:rsidRDefault="00765B61" w:rsidP="005A79E9">
      <w:pPr>
        <w:spacing w:before="160" w:line="48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   </w:t>
      </w:r>
      <w:r w:rsidR="00E1708C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ونُشيد </w:t>
      </w:r>
      <w:r w:rsidR="009D0D50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بالخطوات الإيجابية التي اتخذتها </w:t>
      </w:r>
      <w:r w:rsidR="00C1341A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نيبال</w:t>
      </w:r>
      <w:r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9D0D50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منذ المراجعة الدو</w:t>
      </w:r>
      <w:r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ر</w:t>
      </w:r>
      <w:r w:rsidR="009D0D50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ية الأخيرة،</w:t>
      </w:r>
      <w:r w:rsidR="00E1708C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591CC4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خاصةً </w:t>
      </w:r>
      <w:r w:rsidR="00E1708C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فيما يتعلق </w:t>
      </w:r>
      <w:r w:rsidR="00C1341A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بإصدار </w:t>
      </w:r>
      <w:r w:rsidR="00071978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دستور وطنى </w:t>
      </w:r>
      <w:r w:rsidR="00B8447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يكفل</w:t>
      </w:r>
      <w:r w:rsidR="00BD40D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C00591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سيادة القانون واحترام وحماية </w:t>
      </w:r>
      <w:r w:rsidR="00071978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حقوق الإنسان، </w:t>
      </w:r>
      <w:r w:rsidR="005B5F26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</w:t>
      </w:r>
      <w:r w:rsidR="00C3629F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اعتماد خطة خمسية </w:t>
      </w:r>
      <w:r w:rsidR="00B8447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ت</w:t>
      </w:r>
      <w:r w:rsidR="00BD40D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هدف</w:t>
      </w:r>
      <w:r w:rsidR="00B8447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إلى</w:t>
      </w:r>
      <w:r w:rsidR="00BD40D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C3629F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تحقيق التنمية الاقتصادية </w:t>
      </w:r>
      <w:r w:rsidR="00947CE8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ل</w:t>
      </w:r>
      <w:r w:rsidR="00393A9F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ضم</w:t>
      </w:r>
      <w:r w:rsidR="00947CE8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ا</w:t>
      </w:r>
      <w:r w:rsidR="00393A9F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ن </w:t>
      </w:r>
      <w:r w:rsidR="003948FC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ح</w:t>
      </w:r>
      <w:r w:rsidR="0069324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ياة كريمة للمواطنين النيباليين، وخطة عمل وطنية لحقوق </w:t>
      </w:r>
      <w:r w:rsidR="005B5F26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الإنسان </w:t>
      </w:r>
      <w:r w:rsidR="00261A6A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تُسهم فى</w:t>
      </w:r>
      <w:r w:rsidR="005B5F26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تعزيز حقوق الإنسان، بالإضافة إلى الجهود </w:t>
      </w:r>
      <w:r w:rsidR="00693272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المبذولة </w:t>
      </w:r>
      <w:r w:rsidR="00261A6A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على صعيد </w:t>
      </w:r>
      <w:r w:rsidR="005B5F26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تعزيز المساواة </w:t>
      </w:r>
      <w:r w:rsidR="00C210D7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ومكافحة الاتجار فى البشر</w:t>
      </w:r>
      <w:r w:rsidR="00A96119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والقضاء على الفقر.</w:t>
      </w:r>
    </w:p>
    <w:p w:rsidR="00F208C2" w:rsidRPr="00BE3FC7" w:rsidRDefault="005A79E9" w:rsidP="005A79E9">
      <w:pPr>
        <w:spacing w:before="160" w:line="48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   </w:t>
      </w:r>
      <w:r w:rsidR="00F208C2" w:rsidRPr="00BE3FC7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ويود</w:t>
      </w:r>
      <w:r w:rsidR="00F208C2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ُ</w:t>
      </w:r>
      <w:r w:rsidR="00F208C2" w:rsidRPr="00BE3FC7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 xml:space="preserve"> وفد مصر تقديم التوصيات التالية:</w:t>
      </w:r>
    </w:p>
    <w:p w:rsidR="004B6B06" w:rsidRPr="00BE3FC7" w:rsidRDefault="004B6B06" w:rsidP="005A79E9">
      <w:pPr>
        <w:numPr>
          <w:ilvl w:val="0"/>
          <w:numId w:val="4"/>
        </w:numPr>
        <w:spacing w:before="160" w:line="480" w:lineRule="exact"/>
        <w:ind w:left="-450" w:right="-540" w:hanging="36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مواصلة الجهود الر</w:t>
      </w:r>
      <w:r w:rsidR="00AA6641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</w:t>
      </w: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مية إلى مكافحة التمييز ضد المرأة</w:t>
      </w:r>
      <w:r w:rsidR="009431B1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،</w:t>
      </w: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FE1815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والقضاء على </w:t>
      </w:r>
      <w:r w:rsidR="00AA6641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جميع أشكال </w:t>
      </w:r>
      <w:r w:rsidR="00FE1815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العنف الجنسى</w:t>
      </w:r>
      <w:r w:rsidR="00F54ED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و</w:t>
      </w:r>
      <w:r w:rsidR="009431B1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زواج </w:t>
      </w:r>
      <w:r w:rsidR="002A44A5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وعمالة </w:t>
      </w:r>
      <w:r w:rsidR="009431B1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الأطفال.</w:t>
      </w:r>
    </w:p>
    <w:p w:rsidR="00AA6641" w:rsidRDefault="00D952D9" w:rsidP="005A79E9">
      <w:pPr>
        <w:numPr>
          <w:ilvl w:val="0"/>
          <w:numId w:val="4"/>
        </w:numPr>
        <w:spacing w:before="160" w:line="480" w:lineRule="exact"/>
        <w:ind w:left="-450" w:right="-540" w:hanging="36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مواصلة العمل من أجل </w:t>
      </w:r>
      <w:r w:rsidR="006968D4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تحسين الظروف المعيشية للأشخاص ذوى </w:t>
      </w:r>
      <w:r w:rsidR="00F54ED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الاحتياجات الخاصة</w:t>
      </w:r>
      <w:r w:rsidR="002A44A5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. </w:t>
      </w:r>
    </w:p>
    <w:p w:rsidR="00C42704" w:rsidRPr="00C42704" w:rsidRDefault="00C42704" w:rsidP="00C42704">
      <w:pPr>
        <w:numPr>
          <w:ilvl w:val="0"/>
          <w:numId w:val="4"/>
        </w:numPr>
        <w:spacing w:before="160" w:line="480" w:lineRule="exact"/>
        <w:ind w:left="-450" w:right="-540" w:hanging="36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النظر في التصديق على الاتفاقية الدولية ل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حماية </w:t>
      </w: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حقوق </w:t>
      </w: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العمال </w:t>
      </w: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المهاجرين وأسرهم.</w:t>
      </w:r>
    </w:p>
    <w:p w:rsidR="00EF4ABE" w:rsidRPr="00BE3FC7" w:rsidRDefault="00EF4ABE" w:rsidP="005A79E9">
      <w:pPr>
        <w:spacing w:before="160" w:line="48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   وختاماً، يُعرب وفد مصر عن خالص </w:t>
      </w:r>
      <w:r w:rsidR="00AA6641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تقديره</w:t>
      </w:r>
      <w:r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لحكومة وشعب </w:t>
      </w:r>
      <w:r w:rsidR="00AA6641"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نيبال</w:t>
      </w:r>
      <w:r w:rsidRPr="00BE3FC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.</w:t>
      </w:r>
    </w:p>
    <w:p w:rsidR="00EF4ABE" w:rsidRDefault="00334F08" w:rsidP="005A79E9">
      <w:pPr>
        <w:spacing w:before="160" w:line="480" w:lineRule="exact"/>
        <w:ind w:left="5310" w:right="-540" w:firstLine="117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</w:pP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  </w:t>
      </w:r>
      <w:r w:rsidR="002F166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  </w:t>
      </w:r>
      <w:r w:rsidR="00837AC4"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وشكرا سيدى الرئيس</w:t>
      </w:r>
    </w:p>
    <w:sectPr w:rsidR="00EF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588"/>
    <w:multiLevelType w:val="hybridMultilevel"/>
    <w:tmpl w:val="F244BD8E"/>
    <w:lvl w:ilvl="0" w:tplc="FA925F22">
      <w:start w:val="1"/>
      <w:numFmt w:val="decimal"/>
      <w:lvlText w:val="%1-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35622"/>
    <w:multiLevelType w:val="hybridMultilevel"/>
    <w:tmpl w:val="4E4A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1A1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537C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F"/>
    <w:rsid w:val="00000A16"/>
    <w:rsid w:val="00006006"/>
    <w:rsid w:val="0000617E"/>
    <w:rsid w:val="00010F05"/>
    <w:rsid w:val="00014BF8"/>
    <w:rsid w:val="0001688C"/>
    <w:rsid w:val="0001738E"/>
    <w:rsid w:val="000269E6"/>
    <w:rsid w:val="000350CA"/>
    <w:rsid w:val="000369F8"/>
    <w:rsid w:val="00071978"/>
    <w:rsid w:val="0008658E"/>
    <w:rsid w:val="00097BED"/>
    <w:rsid w:val="000A0163"/>
    <w:rsid w:val="000A7341"/>
    <w:rsid w:val="000B7332"/>
    <w:rsid w:val="000D21FF"/>
    <w:rsid w:val="000E6CF9"/>
    <w:rsid w:val="000F7A5F"/>
    <w:rsid w:val="000F7DA9"/>
    <w:rsid w:val="00100E8F"/>
    <w:rsid w:val="00111688"/>
    <w:rsid w:val="001300D1"/>
    <w:rsid w:val="00135E56"/>
    <w:rsid w:val="00163417"/>
    <w:rsid w:val="0016467F"/>
    <w:rsid w:val="00186B88"/>
    <w:rsid w:val="001A73B1"/>
    <w:rsid w:val="001B1510"/>
    <w:rsid w:val="001D5C48"/>
    <w:rsid w:val="001E5073"/>
    <w:rsid w:val="002452DE"/>
    <w:rsid w:val="00245DF3"/>
    <w:rsid w:val="00261A6A"/>
    <w:rsid w:val="002A44A5"/>
    <w:rsid w:val="002D17F6"/>
    <w:rsid w:val="002D3746"/>
    <w:rsid w:val="002E055B"/>
    <w:rsid w:val="002E5DBF"/>
    <w:rsid w:val="002F1664"/>
    <w:rsid w:val="00310D40"/>
    <w:rsid w:val="00311B07"/>
    <w:rsid w:val="003239A4"/>
    <w:rsid w:val="00334F08"/>
    <w:rsid w:val="003656EA"/>
    <w:rsid w:val="00386543"/>
    <w:rsid w:val="00392C29"/>
    <w:rsid w:val="00393A9F"/>
    <w:rsid w:val="00393DA2"/>
    <w:rsid w:val="003948FC"/>
    <w:rsid w:val="003A255D"/>
    <w:rsid w:val="003B18CF"/>
    <w:rsid w:val="003C1715"/>
    <w:rsid w:val="003C17E5"/>
    <w:rsid w:val="003C31FE"/>
    <w:rsid w:val="003C6BE6"/>
    <w:rsid w:val="003F0422"/>
    <w:rsid w:val="0042576D"/>
    <w:rsid w:val="0044695D"/>
    <w:rsid w:val="00446D77"/>
    <w:rsid w:val="0046469E"/>
    <w:rsid w:val="00480A5C"/>
    <w:rsid w:val="004A6569"/>
    <w:rsid w:val="004B11C5"/>
    <w:rsid w:val="004B1CCA"/>
    <w:rsid w:val="004B6B06"/>
    <w:rsid w:val="004D0DA9"/>
    <w:rsid w:val="004E64E6"/>
    <w:rsid w:val="004F4905"/>
    <w:rsid w:val="005015E2"/>
    <w:rsid w:val="00501840"/>
    <w:rsid w:val="005121C4"/>
    <w:rsid w:val="00517144"/>
    <w:rsid w:val="00522E4B"/>
    <w:rsid w:val="00522F66"/>
    <w:rsid w:val="00531506"/>
    <w:rsid w:val="005401CC"/>
    <w:rsid w:val="005555E1"/>
    <w:rsid w:val="0055776E"/>
    <w:rsid w:val="00591CC4"/>
    <w:rsid w:val="005A0E54"/>
    <w:rsid w:val="005A79E9"/>
    <w:rsid w:val="005B24F8"/>
    <w:rsid w:val="005B5F26"/>
    <w:rsid w:val="005D263A"/>
    <w:rsid w:val="005F0A77"/>
    <w:rsid w:val="00602B02"/>
    <w:rsid w:val="006105E0"/>
    <w:rsid w:val="00614FE1"/>
    <w:rsid w:val="00615D4D"/>
    <w:rsid w:val="006278CA"/>
    <w:rsid w:val="00630D95"/>
    <w:rsid w:val="00631239"/>
    <w:rsid w:val="00654FB7"/>
    <w:rsid w:val="0065676F"/>
    <w:rsid w:val="00661B7D"/>
    <w:rsid w:val="0067681E"/>
    <w:rsid w:val="00693247"/>
    <w:rsid w:val="00693272"/>
    <w:rsid w:val="006968D4"/>
    <w:rsid w:val="006B6F85"/>
    <w:rsid w:val="006C6738"/>
    <w:rsid w:val="006C7795"/>
    <w:rsid w:val="006F1BD6"/>
    <w:rsid w:val="00716FB8"/>
    <w:rsid w:val="00727B18"/>
    <w:rsid w:val="007424C8"/>
    <w:rsid w:val="00743957"/>
    <w:rsid w:val="00746614"/>
    <w:rsid w:val="00752DF1"/>
    <w:rsid w:val="00756EAB"/>
    <w:rsid w:val="00765B61"/>
    <w:rsid w:val="00781A74"/>
    <w:rsid w:val="0078202B"/>
    <w:rsid w:val="007962F8"/>
    <w:rsid w:val="007C0EEC"/>
    <w:rsid w:val="007C1B7E"/>
    <w:rsid w:val="007F2174"/>
    <w:rsid w:val="007F2941"/>
    <w:rsid w:val="007F35FA"/>
    <w:rsid w:val="00801694"/>
    <w:rsid w:val="008119B8"/>
    <w:rsid w:val="00837AC4"/>
    <w:rsid w:val="008469ED"/>
    <w:rsid w:val="00854D75"/>
    <w:rsid w:val="00860BF6"/>
    <w:rsid w:val="00865058"/>
    <w:rsid w:val="00865534"/>
    <w:rsid w:val="00867C3D"/>
    <w:rsid w:val="008842F1"/>
    <w:rsid w:val="008A3671"/>
    <w:rsid w:val="008B2150"/>
    <w:rsid w:val="008B4ECE"/>
    <w:rsid w:val="008D3E7E"/>
    <w:rsid w:val="008E0FDD"/>
    <w:rsid w:val="008E1B2D"/>
    <w:rsid w:val="00903243"/>
    <w:rsid w:val="009063D8"/>
    <w:rsid w:val="00912F96"/>
    <w:rsid w:val="009431B1"/>
    <w:rsid w:val="00947CE8"/>
    <w:rsid w:val="00947F90"/>
    <w:rsid w:val="00966D21"/>
    <w:rsid w:val="009D0D50"/>
    <w:rsid w:val="009D493A"/>
    <w:rsid w:val="009E4234"/>
    <w:rsid w:val="00A04A2A"/>
    <w:rsid w:val="00A21FD9"/>
    <w:rsid w:val="00A27139"/>
    <w:rsid w:val="00A32B0A"/>
    <w:rsid w:val="00A45A45"/>
    <w:rsid w:val="00A46511"/>
    <w:rsid w:val="00A550C0"/>
    <w:rsid w:val="00A60BB9"/>
    <w:rsid w:val="00A62E33"/>
    <w:rsid w:val="00A711D4"/>
    <w:rsid w:val="00A84D22"/>
    <w:rsid w:val="00A91DE4"/>
    <w:rsid w:val="00A96119"/>
    <w:rsid w:val="00AA4C75"/>
    <w:rsid w:val="00AA6641"/>
    <w:rsid w:val="00AB5A50"/>
    <w:rsid w:val="00AC013E"/>
    <w:rsid w:val="00B0100F"/>
    <w:rsid w:val="00B0786B"/>
    <w:rsid w:val="00B143C9"/>
    <w:rsid w:val="00B14B2A"/>
    <w:rsid w:val="00B15703"/>
    <w:rsid w:val="00B17D46"/>
    <w:rsid w:val="00B52286"/>
    <w:rsid w:val="00B55491"/>
    <w:rsid w:val="00B570B0"/>
    <w:rsid w:val="00B71136"/>
    <w:rsid w:val="00B84477"/>
    <w:rsid w:val="00BB28A6"/>
    <w:rsid w:val="00BC5853"/>
    <w:rsid w:val="00BD40D7"/>
    <w:rsid w:val="00BE1B82"/>
    <w:rsid w:val="00BE3FC7"/>
    <w:rsid w:val="00C00591"/>
    <w:rsid w:val="00C0068D"/>
    <w:rsid w:val="00C129BB"/>
    <w:rsid w:val="00C1341A"/>
    <w:rsid w:val="00C210D7"/>
    <w:rsid w:val="00C276B1"/>
    <w:rsid w:val="00C34260"/>
    <w:rsid w:val="00C345F2"/>
    <w:rsid w:val="00C3629F"/>
    <w:rsid w:val="00C404C6"/>
    <w:rsid w:val="00C42704"/>
    <w:rsid w:val="00C47CAB"/>
    <w:rsid w:val="00C503D4"/>
    <w:rsid w:val="00C55643"/>
    <w:rsid w:val="00C61372"/>
    <w:rsid w:val="00C90CC7"/>
    <w:rsid w:val="00C91A3B"/>
    <w:rsid w:val="00CC36F6"/>
    <w:rsid w:val="00CC3F6D"/>
    <w:rsid w:val="00CF192A"/>
    <w:rsid w:val="00CF2499"/>
    <w:rsid w:val="00CF4548"/>
    <w:rsid w:val="00D1486D"/>
    <w:rsid w:val="00D22C2D"/>
    <w:rsid w:val="00D27AB6"/>
    <w:rsid w:val="00D54B1E"/>
    <w:rsid w:val="00D56A5B"/>
    <w:rsid w:val="00D816A2"/>
    <w:rsid w:val="00D86226"/>
    <w:rsid w:val="00D90128"/>
    <w:rsid w:val="00D917AE"/>
    <w:rsid w:val="00D952D9"/>
    <w:rsid w:val="00DA361F"/>
    <w:rsid w:val="00DA6215"/>
    <w:rsid w:val="00DB71CC"/>
    <w:rsid w:val="00DF25C2"/>
    <w:rsid w:val="00DF264C"/>
    <w:rsid w:val="00E014CA"/>
    <w:rsid w:val="00E05B0F"/>
    <w:rsid w:val="00E119C3"/>
    <w:rsid w:val="00E1708C"/>
    <w:rsid w:val="00E432CD"/>
    <w:rsid w:val="00E5138A"/>
    <w:rsid w:val="00E51AA3"/>
    <w:rsid w:val="00E51D09"/>
    <w:rsid w:val="00E72AE0"/>
    <w:rsid w:val="00E81114"/>
    <w:rsid w:val="00EA3844"/>
    <w:rsid w:val="00ED10C8"/>
    <w:rsid w:val="00ED162C"/>
    <w:rsid w:val="00EE025D"/>
    <w:rsid w:val="00EF4ABE"/>
    <w:rsid w:val="00F02DAE"/>
    <w:rsid w:val="00F208C2"/>
    <w:rsid w:val="00F251A0"/>
    <w:rsid w:val="00F31A6D"/>
    <w:rsid w:val="00F369B3"/>
    <w:rsid w:val="00F4046D"/>
    <w:rsid w:val="00F54ED7"/>
    <w:rsid w:val="00F554B9"/>
    <w:rsid w:val="00F82532"/>
    <w:rsid w:val="00F963C6"/>
    <w:rsid w:val="00FD53A8"/>
    <w:rsid w:val="00FE1815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778AC-463B-457B-919C-B7CDE91E0606}"/>
</file>

<file path=customXml/itemProps2.xml><?xml version="1.0" encoding="utf-8"?>
<ds:datastoreItem xmlns:ds="http://schemas.openxmlformats.org/officeDocument/2006/customXml" ds:itemID="{AA5F3790-2825-48C3-AD3D-8B99C85D730C}"/>
</file>

<file path=customXml/itemProps3.xml><?xml version="1.0" encoding="utf-8"?>
<ds:datastoreItem xmlns:ds="http://schemas.openxmlformats.org/officeDocument/2006/customXml" ds:itemID="{BDB39E1E-F9A1-4E0F-8B2F-0298AE630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Ahmed Ibrahim</cp:lastModifiedBy>
  <cp:revision>3</cp:revision>
  <dcterms:created xsi:type="dcterms:W3CDTF">2021-01-18T09:20:00Z</dcterms:created>
  <dcterms:modified xsi:type="dcterms:W3CDTF">2021-01-18T10:26:00Z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